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A8D1" w14:textId="027196C9" w:rsidR="00DE5024" w:rsidRDefault="00DE5024" w:rsidP="00372961"/>
    <w:p w14:paraId="0108808F" w14:textId="11C7F440" w:rsidR="007556F7" w:rsidRPr="00E655A4" w:rsidRDefault="007556F7" w:rsidP="00C252E4">
      <w:pPr>
        <w:tabs>
          <w:tab w:val="left" w:pos="4962"/>
          <w:tab w:val="left" w:pos="5529"/>
        </w:tabs>
        <w:ind w:right="142"/>
        <w:jc w:val="right"/>
        <w:outlineLvl w:val="0"/>
        <w:rPr>
          <w:rFonts w:ascii="Times New Roman" w:hAnsi="Times New Roman" w:cs="Times New Roman"/>
          <w:b/>
          <w:i/>
          <w:iCs/>
          <w:sz w:val="20"/>
          <w:szCs w:val="20"/>
          <w:lang w:val="en-US"/>
        </w:rPr>
      </w:pPr>
      <w:r w:rsidRPr="00AD05D8">
        <w:rPr>
          <w:rFonts w:ascii="Times New Roman" w:hAnsi="Times New Roman" w:cs="Times New Roman"/>
          <w:b/>
          <w:sz w:val="20"/>
          <w:szCs w:val="20"/>
          <w:lang w:val="en-US"/>
        </w:rPr>
        <w:t xml:space="preserve">                                                                                           Pelagos_CST1</w:t>
      </w:r>
      <w:r>
        <w:rPr>
          <w:rFonts w:ascii="Times New Roman" w:hAnsi="Times New Roman" w:cs="Times New Roman"/>
          <w:b/>
          <w:sz w:val="20"/>
          <w:szCs w:val="20"/>
          <w:lang w:val="en-US"/>
        </w:rPr>
        <w:t>8</w:t>
      </w:r>
      <w:r w:rsidRPr="00AD05D8">
        <w:rPr>
          <w:rFonts w:ascii="Times New Roman" w:hAnsi="Times New Roman" w:cs="Times New Roman"/>
          <w:b/>
          <w:sz w:val="20"/>
          <w:szCs w:val="20"/>
          <w:lang w:val="en-US"/>
        </w:rPr>
        <w:t>_202</w:t>
      </w:r>
      <w:r>
        <w:rPr>
          <w:rFonts w:ascii="Times New Roman" w:hAnsi="Times New Roman" w:cs="Times New Roman"/>
          <w:b/>
          <w:sz w:val="20"/>
          <w:szCs w:val="20"/>
          <w:lang w:val="en-US"/>
        </w:rPr>
        <w:t>6</w:t>
      </w:r>
      <w:r w:rsidRPr="00AD05D8">
        <w:rPr>
          <w:rFonts w:ascii="Times New Roman" w:hAnsi="Times New Roman" w:cs="Times New Roman"/>
          <w:b/>
          <w:sz w:val="20"/>
          <w:szCs w:val="20"/>
          <w:lang w:val="en-US"/>
        </w:rPr>
        <w:t>_Doc0</w:t>
      </w:r>
      <w:r w:rsidR="0087619F">
        <w:rPr>
          <w:rFonts w:ascii="Times New Roman" w:hAnsi="Times New Roman" w:cs="Times New Roman"/>
          <w:b/>
          <w:sz w:val="20"/>
          <w:szCs w:val="20"/>
          <w:lang w:val="en-US"/>
        </w:rPr>
        <w:t>5</w:t>
      </w:r>
    </w:p>
    <w:p w14:paraId="3E38A8D8" w14:textId="028151F6"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Pr>
          <w:rFonts w:ascii="Times New Roman" w:hAnsi="Times New Roman" w:cs="Times New Roman"/>
          <w:b/>
          <w:sz w:val="20"/>
          <w:szCs w:val="20"/>
          <w:lang w:val="en-US"/>
        </w:rPr>
        <w:t>French/Italian</w:t>
      </w:r>
    </w:p>
    <w:p w14:paraId="1EB23778" w14:textId="0D1F5418"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sidRPr="00AD05D8">
        <w:rPr>
          <w:rFonts w:ascii="Times New Roman" w:hAnsi="Times New Roman" w:cs="Times New Roman"/>
          <w:b/>
          <w:sz w:val="20"/>
          <w:szCs w:val="20"/>
          <w:lang w:val="en-US"/>
        </w:rPr>
        <w:t xml:space="preserve">Distribution: </w:t>
      </w:r>
      <w:r w:rsidR="00887CF3">
        <w:rPr>
          <w:rFonts w:ascii="Times New Roman" w:hAnsi="Times New Roman" w:cs="Times New Roman"/>
          <w:b/>
          <w:sz w:val="20"/>
          <w:szCs w:val="20"/>
          <w:lang w:val="en-US"/>
        </w:rPr>
        <w:t>0</w:t>
      </w:r>
      <w:r w:rsidR="0087619F">
        <w:rPr>
          <w:rFonts w:ascii="Times New Roman" w:hAnsi="Times New Roman" w:cs="Times New Roman"/>
          <w:b/>
          <w:sz w:val="20"/>
          <w:szCs w:val="20"/>
          <w:lang w:val="en-US"/>
        </w:rPr>
        <w:t>3</w:t>
      </w:r>
      <w:r w:rsidRPr="00AD05D8">
        <w:rPr>
          <w:rFonts w:ascii="Times New Roman" w:hAnsi="Times New Roman" w:cs="Times New Roman"/>
          <w:b/>
          <w:sz w:val="20"/>
          <w:szCs w:val="20"/>
          <w:lang w:val="en-US"/>
        </w:rPr>
        <w:t>/0</w:t>
      </w:r>
      <w:r w:rsidR="0087619F">
        <w:rPr>
          <w:rFonts w:ascii="Times New Roman" w:hAnsi="Times New Roman" w:cs="Times New Roman"/>
          <w:b/>
          <w:sz w:val="20"/>
          <w:szCs w:val="20"/>
          <w:lang w:val="en-US"/>
        </w:rPr>
        <w:t>5</w:t>
      </w:r>
      <w:r w:rsidRPr="00AD05D8">
        <w:rPr>
          <w:rFonts w:ascii="Times New Roman" w:hAnsi="Times New Roman" w:cs="Times New Roman"/>
          <w:b/>
          <w:sz w:val="20"/>
          <w:szCs w:val="20"/>
          <w:lang w:val="en-US"/>
        </w:rPr>
        <w:t>/202</w:t>
      </w:r>
      <w:r>
        <w:rPr>
          <w:rFonts w:ascii="Times New Roman" w:hAnsi="Times New Roman" w:cs="Times New Roman"/>
          <w:b/>
          <w:sz w:val="20"/>
          <w:szCs w:val="20"/>
          <w:lang w:val="en-US"/>
        </w:rPr>
        <w:t>6</w:t>
      </w:r>
    </w:p>
    <w:p w14:paraId="3606C319" w14:textId="77777777" w:rsidR="007556F7" w:rsidRPr="00AD05D8" w:rsidRDefault="007556F7" w:rsidP="007556F7">
      <w:pPr>
        <w:rPr>
          <w:rFonts w:ascii="Times New Roman" w:hAnsi="Times New Roman" w:cs="Times New Roman"/>
          <w:lang w:val="en-US"/>
        </w:rPr>
      </w:pPr>
    </w:p>
    <w:p w14:paraId="3C775B04" w14:textId="77777777" w:rsidR="007556F7" w:rsidRPr="00AD05D8" w:rsidRDefault="007556F7" w:rsidP="007556F7">
      <w:pPr>
        <w:rPr>
          <w:rFonts w:ascii="Times New Roman" w:hAnsi="Times New Roman" w:cs="Times New Roman"/>
          <w:lang w:val="en-US"/>
        </w:rPr>
      </w:pPr>
    </w:p>
    <w:p w14:paraId="49EB867D" w14:textId="77777777" w:rsidR="007556F7" w:rsidRPr="00AD05D8" w:rsidRDefault="007556F7" w:rsidP="007556F7">
      <w:pPr>
        <w:rPr>
          <w:rFonts w:ascii="Times New Roman" w:hAnsi="Times New Roman" w:cs="Times New Roman"/>
          <w:lang w:val="en-US"/>
        </w:rPr>
      </w:pPr>
    </w:p>
    <w:p w14:paraId="6B9341AC" w14:textId="77777777" w:rsidR="007556F7" w:rsidRPr="00AD05D8" w:rsidRDefault="007556F7" w:rsidP="007556F7">
      <w:pPr>
        <w:rPr>
          <w:rFonts w:ascii="Times New Roman" w:hAnsi="Times New Roman" w:cs="Times New Roman"/>
          <w:lang w:val="en-US"/>
        </w:rPr>
      </w:pPr>
    </w:p>
    <w:p w14:paraId="0B4B62A4" w14:textId="77777777" w:rsidR="007556F7" w:rsidRPr="00AD05D8" w:rsidRDefault="007556F7" w:rsidP="007556F7">
      <w:pPr>
        <w:rPr>
          <w:rFonts w:ascii="Times New Roman" w:hAnsi="Times New Roman" w:cs="Times New Roman"/>
          <w:lang w:val="en-US"/>
        </w:rPr>
      </w:pPr>
    </w:p>
    <w:p w14:paraId="6613EA7E" w14:textId="77777777" w:rsidR="007556F7" w:rsidRPr="00AD05D8" w:rsidRDefault="007556F7" w:rsidP="007556F7">
      <w:pPr>
        <w:rPr>
          <w:rFonts w:ascii="Times New Roman" w:hAnsi="Times New Roman" w:cs="Times New Roman"/>
          <w:lang w:val="en-US"/>
        </w:rPr>
      </w:pPr>
    </w:p>
    <w:p w14:paraId="2517D777" w14:textId="77777777" w:rsidR="007556F7" w:rsidRPr="00AD05D8" w:rsidRDefault="007556F7" w:rsidP="007556F7">
      <w:pPr>
        <w:rPr>
          <w:rFonts w:ascii="Times New Roman" w:hAnsi="Times New Roman" w:cs="Times New Roman"/>
          <w:lang w:val="en-US"/>
        </w:rPr>
      </w:pPr>
    </w:p>
    <w:p w14:paraId="3205AD9F" w14:textId="2D916688" w:rsidR="007556F7" w:rsidRPr="009D6AC6" w:rsidRDefault="0019190B" w:rsidP="009D6AC6">
      <w:pPr>
        <w:jc w:val="center"/>
        <w:rPr>
          <w:rFonts w:ascii="Times New Roman" w:hAnsi="Times New Roman" w:cs="Times New Roman"/>
          <w:sz w:val="28"/>
          <w:szCs w:val="28"/>
          <w:lang w:val="en-US"/>
        </w:rPr>
      </w:pPr>
      <w:r w:rsidRPr="009D6AC6">
        <w:rPr>
          <w:rFonts w:ascii="Times New Roman" w:hAnsi="Times New Roman" w:cs="Times New Roman"/>
          <w:sz w:val="28"/>
          <w:szCs w:val="28"/>
          <w:lang w:val="en-US"/>
        </w:rPr>
        <w:t>Draft Doc. 0</w:t>
      </w:r>
      <w:r w:rsidR="0087619F" w:rsidRPr="009D6AC6">
        <w:rPr>
          <w:rFonts w:ascii="Times New Roman" w:hAnsi="Times New Roman" w:cs="Times New Roman"/>
          <w:sz w:val="28"/>
          <w:szCs w:val="28"/>
          <w:lang w:val="en-US"/>
        </w:rPr>
        <w:t>5</w:t>
      </w:r>
    </w:p>
    <w:p w14:paraId="731BF612" w14:textId="77777777" w:rsidR="007556F7" w:rsidRPr="009D6AC6" w:rsidRDefault="007556F7" w:rsidP="009D6AC6">
      <w:pPr>
        <w:rPr>
          <w:rFonts w:ascii="Times New Roman" w:hAnsi="Times New Roman" w:cs="Times New Roman"/>
          <w:sz w:val="28"/>
          <w:szCs w:val="28"/>
          <w:lang w:val="en-US"/>
        </w:rPr>
      </w:pPr>
    </w:p>
    <w:p w14:paraId="6D91D561" w14:textId="2E66653F" w:rsidR="00372961" w:rsidRDefault="009D6AC6" w:rsidP="009D6AC6">
      <w:pPr>
        <w:spacing w:after="100" w:afterAutospacing="1"/>
        <w:jc w:val="center"/>
        <w:outlineLvl w:val="1"/>
        <w:rPr>
          <w:rFonts w:ascii="Times New Roman" w:eastAsia="Times New Roman" w:hAnsi="Times New Roman" w:cs="Times New Roman"/>
          <w:b/>
          <w:bCs/>
          <w:color w:val="000000"/>
          <w:sz w:val="28"/>
          <w:szCs w:val="28"/>
          <w:lang w:val="en-GB" w:eastAsia="en-GB"/>
        </w:rPr>
      </w:pPr>
      <w:r w:rsidRPr="009D6AC6">
        <w:rPr>
          <w:rFonts w:ascii="Times New Roman" w:eastAsia="Times New Roman" w:hAnsi="Times New Roman" w:cs="Times New Roman"/>
          <w:b/>
          <w:bCs/>
          <w:color w:val="000000"/>
          <w:sz w:val="28"/>
          <w:szCs w:val="28"/>
          <w:lang w:val="en-GB" w:eastAsia="en-GB"/>
        </w:rPr>
        <w:t>Pelagos Quality Status Report (QSR)</w:t>
      </w:r>
    </w:p>
    <w:p w14:paraId="2DEA8E89" w14:textId="77777777" w:rsidR="009D6AC6" w:rsidRPr="00C31B19" w:rsidRDefault="009D6AC6" w:rsidP="009D6AC6">
      <w:pPr>
        <w:spacing w:before="100" w:beforeAutospacing="1" w:after="100" w:afterAutospacing="1"/>
        <w:jc w:val="center"/>
        <w:outlineLvl w:val="2"/>
        <w:rPr>
          <w:rFonts w:ascii="Times New Roman" w:eastAsia="Times New Roman" w:hAnsi="Times New Roman" w:cs="Times New Roman"/>
          <w:b/>
          <w:bCs/>
          <w:color w:val="000000"/>
          <w:sz w:val="27"/>
          <w:szCs w:val="27"/>
          <w:lang w:eastAsia="en-GB"/>
        </w:rPr>
      </w:pPr>
      <w:r w:rsidRPr="009D6AC6">
        <w:rPr>
          <w:rFonts w:ascii="Times New Roman" w:eastAsia="Times New Roman" w:hAnsi="Times New Roman" w:cs="Times New Roman"/>
          <w:b/>
          <w:bCs/>
          <w:color w:val="000000"/>
          <w:sz w:val="27"/>
          <w:szCs w:val="27"/>
          <w:lang w:val="it-IT" w:eastAsia="en-GB"/>
        </w:rPr>
        <w:t>Termini di riferimento</w:t>
      </w:r>
      <w:r w:rsidRPr="00C31B19">
        <w:rPr>
          <w:rFonts w:ascii="Times New Roman" w:eastAsia="Times New Roman" w:hAnsi="Times New Roman" w:cs="Times New Roman"/>
          <w:b/>
          <w:bCs/>
          <w:color w:val="000000"/>
          <w:sz w:val="27"/>
          <w:szCs w:val="27"/>
          <w:lang w:eastAsia="en-GB"/>
        </w:rPr>
        <w:t xml:space="preserve"> / Termes de référence</w:t>
      </w:r>
    </w:p>
    <w:p w14:paraId="200F0475" w14:textId="77777777" w:rsidR="009D6AC6" w:rsidRPr="009D6AC6" w:rsidRDefault="009D6AC6" w:rsidP="009D6AC6">
      <w:pPr>
        <w:spacing w:after="100" w:afterAutospacing="1"/>
        <w:jc w:val="center"/>
        <w:outlineLvl w:val="1"/>
      </w:pPr>
    </w:p>
    <w:p w14:paraId="44C10418" w14:textId="77777777" w:rsidR="00B0538F" w:rsidRPr="009D6AC6" w:rsidRDefault="00B0538F" w:rsidP="00372961"/>
    <w:p w14:paraId="55F2AB5D" w14:textId="77777777" w:rsidR="00B0538F" w:rsidRPr="009D6AC6" w:rsidRDefault="00B0538F" w:rsidP="00372961"/>
    <w:p w14:paraId="2A7C65C2" w14:textId="77777777" w:rsidR="00B0538F" w:rsidRPr="009D6AC6" w:rsidRDefault="00B0538F" w:rsidP="00372961"/>
    <w:p w14:paraId="3E224EE9" w14:textId="77777777" w:rsidR="00B0538F" w:rsidRPr="009D6AC6" w:rsidRDefault="00B0538F" w:rsidP="00372961"/>
    <w:p w14:paraId="60D1E749" w14:textId="77777777" w:rsidR="00B0538F" w:rsidRPr="009D6AC6" w:rsidRDefault="00B0538F" w:rsidP="00372961"/>
    <w:p w14:paraId="76B4F471" w14:textId="77777777" w:rsidR="00DF1E7B" w:rsidRPr="009D6AC6" w:rsidRDefault="00DF1E7B" w:rsidP="00372961"/>
    <w:p w14:paraId="3ED32B6C" w14:textId="77777777" w:rsidR="00DF1E7B" w:rsidRPr="009D6AC6" w:rsidRDefault="00DF1E7B" w:rsidP="00372961"/>
    <w:p w14:paraId="1557FD3D" w14:textId="77777777" w:rsidR="00DF1E7B" w:rsidRPr="009D6AC6" w:rsidRDefault="00DF1E7B" w:rsidP="00372961"/>
    <w:p w14:paraId="2C610D6E" w14:textId="77777777" w:rsidR="00DF1E7B" w:rsidRPr="009D6AC6" w:rsidRDefault="00DF1E7B" w:rsidP="00372961"/>
    <w:p w14:paraId="7E4C8206" w14:textId="77777777" w:rsidR="00DF1E7B" w:rsidRPr="009D6AC6" w:rsidRDefault="00DF1E7B" w:rsidP="00372961"/>
    <w:p w14:paraId="241B988E" w14:textId="77777777" w:rsidR="00DF1E7B" w:rsidRPr="009D6AC6" w:rsidRDefault="00DF1E7B" w:rsidP="00372961"/>
    <w:p w14:paraId="27852532" w14:textId="77777777" w:rsidR="00DF1E7B" w:rsidRPr="009D6AC6" w:rsidRDefault="00DF1E7B" w:rsidP="00372961"/>
    <w:p w14:paraId="61E984BD" w14:textId="77777777" w:rsidR="00DF1E7B" w:rsidRPr="009D6AC6" w:rsidRDefault="00DF1E7B" w:rsidP="00372961"/>
    <w:p w14:paraId="5838C25F" w14:textId="77777777" w:rsidR="00DF1E7B" w:rsidRPr="009D6AC6" w:rsidRDefault="00DF1E7B" w:rsidP="00372961"/>
    <w:p w14:paraId="61EE8AA7" w14:textId="77777777" w:rsidR="00DF1E7B" w:rsidRPr="009D6AC6" w:rsidRDefault="00DF1E7B" w:rsidP="00372961"/>
    <w:p w14:paraId="0E6B9A19" w14:textId="77777777" w:rsidR="00DF1E7B" w:rsidRPr="009D6AC6" w:rsidRDefault="00DF1E7B" w:rsidP="00372961"/>
    <w:p w14:paraId="0C3DDC37" w14:textId="77777777" w:rsidR="00DF1E7B" w:rsidRPr="009D6AC6" w:rsidRDefault="00DF1E7B" w:rsidP="00372961"/>
    <w:p w14:paraId="7C9F9F17" w14:textId="77777777" w:rsidR="00DF1E7B" w:rsidRPr="009D6AC6" w:rsidRDefault="00DF1E7B" w:rsidP="00372961"/>
    <w:p w14:paraId="33D85F75" w14:textId="77777777" w:rsidR="00DF1E7B" w:rsidRPr="009D6AC6" w:rsidRDefault="00DF1E7B" w:rsidP="00372961"/>
    <w:p w14:paraId="4BD4D138" w14:textId="77777777" w:rsidR="00DF1E7B" w:rsidRPr="009D6AC6" w:rsidRDefault="00DF1E7B" w:rsidP="00372961"/>
    <w:p w14:paraId="2F47E88D" w14:textId="77777777" w:rsidR="00DF1E7B" w:rsidRPr="009D6AC6" w:rsidRDefault="00DF1E7B" w:rsidP="00372961"/>
    <w:p w14:paraId="4D3BC772" w14:textId="77777777" w:rsidR="00DF1E7B" w:rsidRPr="009D6AC6" w:rsidRDefault="00DF1E7B" w:rsidP="00372961"/>
    <w:p w14:paraId="23B273A7" w14:textId="77777777" w:rsidR="00DF1E7B" w:rsidRPr="009D6AC6" w:rsidRDefault="00DF1E7B" w:rsidP="00372961"/>
    <w:p w14:paraId="25CAAA14" w14:textId="77777777" w:rsidR="00DF1E7B" w:rsidRPr="009D6AC6" w:rsidRDefault="00DF1E7B" w:rsidP="00372961"/>
    <w:p w14:paraId="69C18277" w14:textId="77777777" w:rsidR="00DF1E7B" w:rsidRPr="009D6AC6" w:rsidRDefault="00DF1E7B" w:rsidP="00372961"/>
    <w:p w14:paraId="688818A8" w14:textId="77777777" w:rsidR="00DF1E7B" w:rsidRPr="009D6AC6" w:rsidRDefault="00DF1E7B" w:rsidP="00372961"/>
    <w:p w14:paraId="12D3F2E9" w14:textId="77777777" w:rsidR="00DF1E7B" w:rsidRPr="009D6AC6" w:rsidRDefault="00DF1E7B" w:rsidP="00372961"/>
    <w:p w14:paraId="5C3866B1" w14:textId="77777777" w:rsidR="00DF1E7B" w:rsidRPr="009D6AC6" w:rsidRDefault="00DF1E7B" w:rsidP="00372961"/>
    <w:p w14:paraId="5222646D" w14:textId="77777777" w:rsidR="00B0538F" w:rsidRPr="009D6AC6" w:rsidRDefault="00B0538F" w:rsidP="00372961"/>
    <w:p w14:paraId="40FB6B9D" w14:textId="58AB7BCE" w:rsidR="00E04959" w:rsidRPr="009D6AC6" w:rsidRDefault="00E04959" w:rsidP="00E04959">
      <w:pPr>
        <w:spacing w:before="100" w:beforeAutospacing="1" w:after="100" w:afterAutospacing="1"/>
        <w:outlineLvl w:val="0"/>
        <w:rPr>
          <w:rFonts w:ascii="Times New Roman" w:eastAsia="Times New Roman" w:hAnsi="Times New Roman" w:cs="Times New Roman"/>
          <w:b/>
          <w:bCs/>
          <w:color w:val="000000"/>
          <w:kern w:val="36"/>
          <w:sz w:val="48"/>
          <w:szCs w:val="48"/>
          <w:lang w:val="en-GB" w:eastAsia="en-GB"/>
        </w:rPr>
      </w:pPr>
      <w:r w:rsidRPr="009D6AC6">
        <w:rPr>
          <w:rFonts w:ascii="Times New Roman" w:eastAsia="Times New Roman" w:hAnsi="Times New Roman" w:cs="Times New Roman"/>
          <w:b/>
          <w:bCs/>
          <w:color w:val="000000"/>
          <w:kern w:val="36"/>
          <w:sz w:val="48"/>
          <w:szCs w:val="48"/>
          <w:lang w:val="en-GB" w:eastAsia="en-GB"/>
        </w:rPr>
        <w:t>Draft Doc 5</w:t>
      </w:r>
    </w:p>
    <w:p w14:paraId="085C34B7" w14:textId="45B98280" w:rsidR="00E04959" w:rsidRPr="009D6AC6" w:rsidRDefault="00E04959" w:rsidP="00E04959">
      <w:pPr>
        <w:rPr>
          <w:rFonts w:ascii="Times New Roman" w:eastAsia="Times New Roman" w:hAnsi="Times New Roman" w:cs="Times New Roman"/>
          <w:lang w:val="en-GB" w:eastAsia="en-GB"/>
        </w:rPr>
      </w:pPr>
    </w:p>
    <w:p w14:paraId="5A8F720A" w14:textId="77777777" w:rsidR="00E04959" w:rsidRPr="00E0495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val="en-GB" w:eastAsia="en-GB"/>
        </w:rPr>
      </w:pPr>
      <w:r w:rsidRPr="00E04959">
        <w:rPr>
          <w:rFonts w:ascii="Times New Roman" w:eastAsia="Times New Roman" w:hAnsi="Times New Roman" w:cs="Times New Roman"/>
          <w:b/>
          <w:bCs/>
          <w:color w:val="000000"/>
          <w:sz w:val="36"/>
          <w:szCs w:val="36"/>
          <w:lang w:val="en-GB" w:eastAsia="en-GB"/>
        </w:rPr>
        <w:t>Pelagos Quality Status Report (QSR)</w:t>
      </w:r>
    </w:p>
    <w:p w14:paraId="4C16CCC3" w14:textId="77777777" w:rsidR="00E04959" w:rsidRPr="00C31B19" w:rsidRDefault="00E04959" w:rsidP="00E04959">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C31B19">
        <w:rPr>
          <w:rFonts w:ascii="Times New Roman" w:eastAsia="Times New Roman" w:hAnsi="Times New Roman" w:cs="Times New Roman"/>
          <w:b/>
          <w:bCs/>
          <w:color w:val="000000"/>
          <w:sz w:val="27"/>
          <w:szCs w:val="27"/>
          <w:lang w:eastAsia="en-GB"/>
        </w:rPr>
        <w:t>Termini di riferimento / Termes de référence</w:t>
      </w:r>
    </w:p>
    <w:p w14:paraId="21BA3A98"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6CE4F8B">
          <v:rect id="_x0000_i1039" alt="" style="width:451.3pt;height:.05pt;mso-width-percent:0;mso-height-percent:0;mso-width-percent:0;mso-height-percent:0" o:hralign="center" o:hrstd="t" o:hr="t" fillcolor="#a0a0a0" stroked="f"/>
        </w:pict>
      </w:r>
    </w:p>
    <w:p w14:paraId="0066A653"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1. Base giuridica e contesto / Base juridique et contexte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7"/>
        <w:gridCol w:w="4761"/>
      </w:tblGrid>
      <w:tr w:rsidR="00E04959" w:rsidRPr="00C31B19" w14:paraId="2CC23EBC" w14:textId="77777777" w:rsidTr="009A048A">
        <w:trPr>
          <w:tblHeader/>
          <w:tblCellSpacing w:w="15" w:type="dxa"/>
        </w:trPr>
        <w:tc>
          <w:tcPr>
            <w:tcW w:w="0" w:type="auto"/>
            <w:vAlign w:val="center"/>
            <w:hideMark/>
          </w:tcPr>
          <w:p w14:paraId="7D076E1A"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2117E53E"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5C49F12E" w14:textId="77777777" w:rsidTr="009A048A">
        <w:trPr>
          <w:tblCellSpacing w:w="15" w:type="dxa"/>
        </w:trPr>
        <w:tc>
          <w:tcPr>
            <w:tcW w:w="0" w:type="auto"/>
            <w:vAlign w:val="center"/>
            <w:hideMark/>
          </w:tcPr>
          <w:p w14:paraId="32ED8984"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Richiamando l’Accordo relativo alla creazione di un Santuario per i Mammiferi Marini nel Mediterraneo (Accordo Pelagos); considerata la necessità di una valutazione periodica, integrata e scientificamente fondata dello stato dell’ambiente marino del Santuario; le presenti ToR stabiliscono il quadro procedurale, tecnico e istituzionale per la preparazione del Pelagos Quality Status Report (QSR).</w:t>
            </w:r>
          </w:p>
        </w:tc>
        <w:tc>
          <w:tcPr>
            <w:tcW w:w="0" w:type="auto"/>
            <w:vAlign w:val="center"/>
            <w:hideMark/>
          </w:tcPr>
          <w:p w14:paraId="5DC150E9"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Rappelant l’Accord relatif à la création d’un Sanctuaire pour les mammifères marins en Méditerranée (Accord Pelagos) ; considérant la nécessité d’une évaluation périodique, intégrée et scientifiquement fondée de l’état du milieu marin du Sanctuaire ; les présents termes de référence établissent le cadre procédural, technique et institutionnel pour l’élaboration du Pelagos Quality Status Report (QSR).</w:t>
            </w:r>
          </w:p>
        </w:tc>
      </w:tr>
    </w:tbl>
    <w:p w14:paraId="1BB65930"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5D0CED2D">
          <v:rect id="_x0000_i1038" alt="" style="width:451.3pt;height:.05pt;mso-width-percent:0;mso-height-percent:0;mso-width-percent:0;mso-height-percent:0" o:hralign="center" o:hrstd="t" o:hr="t" fillcolor="#a0a0a0" stroked="f"/>
        </w:pict>
      </w:r>
    </w:p>
    <w:p w14:paraId="3D885A5C"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2. Oggetto / Objet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3"/>
        <w:gridCol w:w="5275"/>
      </w:tblGrid>
      <w:tr w:rsidR="00E04959" w:rsidRPr="00C31B19" w14:paraId="3F06D4F8" w14:textId="77777777" w:rsidTr="009A048A">
        <w:trPr>
          <w:tblHeader/>
          <w:tblCellSpacing w:w="15" w:type="dxa"/>
        </w:trPr>
        <w:tc>
          <w:tcPr>
            <w:tcW w:w="0" w:type="auto"/>
            <w:vAlign w:val="center"/>
            <w:hideMark/>
          </w:tcPr>
          <w:p w14:paraId="32FF3FAF"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053AE243"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19D9D2FB" w14:textId="77777777" w:rsidTr="009A048A">
        <w:trPr>
          <w:tblCellSpacing w:w="15" w:type="dxa"/>
        </w:trPr>
        <w:tc>
          <w:tcPr>
            <w:tcW w:w="0" w:type="auto"/>
            <w:vAlign w:val="center"/>
            <w:hideMark/>
          </w:tcPr>
          <w:p w14:paraId="04250384"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presenti ToR disciplinano le finalità, l’ambito, la struttura, i ruoli istituzionali, la governance e la procedura di elaborazione, revisione e adozione del QSR.</w:t>
            </w:r>
          </w:p>
        </w:tc>
        <w:tc>
          <w:tcPr>
            <w:tcW w:w="0" w:type="auto"/>
            <w:vAlign w:val="center"/>
            <w:hideMark/>
          </w:tcPr>
          <w:p w14:paraId="1B049521"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Les présents termes de référence définissent les objectifs, le champ d’application, la structure, les rôles institutionnels, la gouvernance ainsi que la procédure d’élaboration, de révision et d’adoption du QSR.</w:t>
            </w:r>
          </w:p>
        </w:tc>
      </w:tr>
    </w:tbl>
    <w:p w14:paraId="547F9F4E"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50F4929A">
          <v:rect id="_x0000_i1037" alt="" style="width:451.3pt;height:.05pt;mso-width-percent:0;mso-height-percent:0;mso-width-percent:0;mso-height-percent:0" o:hralign="center" o:hrstd="t" o:hr="t" fillcolor="#a0a0a0" stroked="f"/>
        </w:pict>
      </w:r>
    </w:p>
    <w:p w14:paraId="3F0F4F0C" w14:textId="77777777" w:rsidR="00E0495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p>
    <w:p w14:paraId="495865C9"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3. Finalità / Objectifs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6"/>
        <w:gridCol w:w="4812"/>
      </w:tblGrid>
      <w:tr w:rsidR="00E04959" w:rsidRPr="00C31B19" w14:paraId="5DB473A9" w14:textId="77777777" w:rsidTr="009A048A">
        <w:trPr>
          <w:tblHeader/>
          <w:tblCellSpacing w:w="15" w:type="dxa"/>
        </w:trPr>
        <w:tc>
          <w:tcPr>
            <w:tcW w:w="0" w:type="auto"/>
            <w:vAlign w:val="center"/>
            <w:hideMark/>
          </w:tcPr>
          <w:p w14:paraId="5F45B579"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104FBA8D"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5F0A482C" w14:textId="77777777" w:rsidTr="009A048A">
        <w:trPr>
          <w:tblCellSpacing w:w="15" w:type="dxa"/>
        </w:trPr>
        <w:tc>
          <w:tcPr>
            <w:tcW w:w="0" w:type="auto"/>
            <w:vAlign w:val="center"/>
            <w:hideMark/>
          </w:tcPr>
          <w:p w14:paraId="6EC5FC53"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 xml:space="preserve">a) Valutare lo stato e le tendenze degli ecosistemi marini del Santuario; b) analizzare le pressioni antropiche e i relativi impatti; c) </w:t>
            </w:r>
            <w:r w:rsidRPr="00C31B19">
              <w:rPr>
                <w:rFonts w:ascii="Times New Roman" w:eastAsia="Times New Roman" w:hAnsi="Times New Roman" w:cs="Times New Roman"/>
                <w:color w:val="000000"/>
                <w:lang w:eastAsia="en-GB"/>
              </w:rPr>
              <w:lastRenderedPageBreak/>
              <w:t>valutare l’efficacia delle misure di gestione; d) individuare lacune conoscitive e priorità di ricerca; e) formulare raccomandazioni a supporto delle Parti contraenti.</w:t>
            </w:r>
          </w:p>
        </w:tc>
        <w:tc>
          <w:tcPr>
            <w:tcW w:w="0" w:type="auto"/>
            <w:vAlign w:val="center"/>
            <w:hideMark/>
          </w:tcPr>
          <w:p w14:paraId="3C6DE581"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lastRenderedPageBreak/>
              <w:t xml:space="preserve">a) Évaluer l’état et les tendances des écosystèmes marins du Sanctuaire ; b) analyser les pressions anthropiques et leurs impacts ; c) </w:t>
            </w:r>
            <w:r w:rsidRPr="00C31B19">
              <w:rPr>
                <w:rFonts w:ascii="Times New Roman" w:eastAsia="Times New Roman" w:hAnsi="Times New Roman" w:cs="Times New Roman"/>
                <w:color w:val="000000"/>
                <w:lang w:eastAsia="en-GB"/>
              </w:rPr>
              <w:lastRenderedPageBreak/>
              <w:t>évaluer l’efficacité des mesures de gestion ; d) identifier les lacunes et les priorités de recherche ; e) formuler des recommandations à l’appui des Parties contractantes.</w:t>
            </w:r>
          </w:p>
        </w:tc>
      </w:tr>
    </w:tbl>
    <w:p w14:paraId="287FB6AC"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C0FA34D">
          <v:rect id="_x0000_i1036" alt="" style="width:451.3pt;height:.05pt;mso-width-percent:0;mso-height-percent:0;mso-width-percent:0;mso-height-percent:0" o:hralign="center" o:hrstd="t" o:hr="t" fillcolor="#a0a0a0" stroked="f"/>
        </w:pict>
      </w:r>
    </w:p>
    <w:p w14:paraId="468FB389"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4. Ambito / Champ d’application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6"/>
        <w:gridCol w:w="4982"/>
      </w:tblGrid>
      <w:tr w:rsidR="00E04959" w:rsidRPr="00C31B19" w14:paraId="6B28AE05" w14:textId="77777777" w:rsidTr="009A048A">
        <w:trPr>
          <w:tblHeader/>
          <w:tblCellSpacing w:w="15" w:type="dxa"/>
        </w:trPr>
        <w:tc>
          <w:tcPr>
            <w:tcW w:w="0" w:type="auto"/>
            <w:vAlign w:val="center"/>
            <w:hideMark/>
          </w:tcPr>
          <w:p w14:paraId="11E75A73"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7385B2C9"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23F5D7FB" w14:textId="77777777" w:rsidTr="009A048A">
        <w:trPr>
          <w:tblCellSpacing w:w="15" w:type="dxa"/>
        </w:trPr>
        <w:tc>
          <w:tcPr>
            <w:tcW w:w="0" w:type="auto"/>
            <w:vAlign w:val="center"/>
            <w:hideMark/>
          </w:tcPr>
          <w:p w14:paraId="12A8F054"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QSR copre l’intera area geografica del Santuario Pelagos, si riferisce a un ciclo di valutazione di sei anni e adotta un approccio ecosistemico, multidisciplinare e basato sulle migliori evidenze disponibili.</w:t>
            </w:r>
          </w:p>
        </w:tc>
        <w:tc>
          <w:tcPr>
            <w:tcW w:w="0" w:type="auto"/>
            <w:vAlign w:val="center"/>
            <w:hideMark/>
          </w:tcPr>
          <w:p w14:paraId="76187964"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QSR couvre l’ensemble de la zone géographique du Sanctuaire Pelagos, se réfère à un cycle d’évaluation de six ans et adopte une approche écosystémique, multidisciplinaire et fondée sur les meilleures connaissances disponibles.</w:t>
            </w:r>
          </w:p>
        </w:tc>
      </w:tr>
    </w:tbl>
    <w:p w14:paraId="296B8C2E"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DCE4843">
          <v:rect id="_x0000_i1035" alt="" style="width:451.3pt;height:.05pt;mso-width-percent:0;mso-height-percent:0;mso-width-percent:0;mso-height-percent:0" o:hralign="center" o:hrstd="t" o:hr="t" fillcolor="#a0a0a0" stroked="f"/>
        </w:pict>
      </w:r>
    </w:p>
    <w:p w14:paraId="1DED8BF1"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5. Struttura del rapporto / Structure du rapport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5"/>
        <w:gridCol w:w="4853"/>
      </w:tblGrid>
      <w:tr w:rsidR="00E04959" w:rsidRPr="00C31B19" w14:paraId="07A550D1" w14:textId="77777777" w:rsidTr="009A048A">
        <w:trPr>
          <w:tblHeader/>
          <w:tblCellSpacing w:w="15" w:type="dxa"/>
        </w:trPr>
        <w:tc>
          <w:tcPr>
            <w:tcW w:w="0" w:type="auto"/>
            <w:vAlign w:val="center"/>
            <w:hideMark/>
          </w:tcPr>
          <w:p w14:paraId="3D1E5E1D"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510D55E7"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0C0C51F9" w14:textId="77777777" w:rsidTr="009A048A">
        <w:trPr>
          <w:tblCellSpacing w:w="15" w:type="dxa"/>
        </w:trPr>
        <w:tc>
          <w:tcPr>
            <w:tcW w:w="0" w:type="auto"/>
            <w:vAlign w:val="center"/>
            <w:hideMark/>
          </w:tcPr>
          <w:p w14:paraId="6C1A29D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QSR include almeno le seguenti sezioni: sintesi esecutiva, introduzione, metodologia, stato dell’ambiente, pressioni e impatti, misure adottate, governance istituzionale, lacune conoscitive, raccomandazioni e allegati tecnici.</w:t>
            </w:r>
          </w:p>
        </w:tc>
        <w:tc>
          <w:tcPr>
            <w:tcW w:w="0" w:type="auto"/>
            <w:vAlign w:val="center"/>
            <w:hideMark/>
          </w:tcPr>
          <w:p w14:paraId="42C49EC9"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QSR comprend au minimum les sections suivantes : résumé exécutif, introduction, méthodologie, état du milieu, pressions et impacts, mesures adoptées, gouvernance institutionnelle, lacunes, recommandations et annexes techniques.</w:t>
            </w:r>
          </w:p>
        </w:tc>
      </w:tr>
    </w:tbl>
    <w:p w14:paraId="4FB185D6"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373F1AF">
          <v:rect id="_x0000_i1034" alt="" style="width:451.3pt;height:.05pt;mso-width-percent:0;mso-height-percent:0;mso-width-percent:0;mso-height-percent:0" o:hralign="center" o:hrstd="t" o:hr="t" fillcolor="#a0a0a0" stroked="f"/>
        </w:pict>
      </w:r>
    </w:p>
    <w:p w14:paraId="68684E69"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6. Principi metodologici / Principes méthodologiques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3"/>
        <w:gridCol w:w="5055"/>
      </w:tblGrid>
      <w:tr w:rsidR="00E04959" w:rsidRPr="00C31B19" w14:paraId="4B4C62C5" w14:textId="77777777" w:rsidTr="009A048A">
        <w:trPr>
          <w:tblHeader/>
          <w:tblCellSpacing w:w="15" w:type="dxa"/>
        </w:trPr>
        <w:tc>
          <w:tcPr>
            <w:tcW w:w="0" w:type="auto"/>
            <w:vAlign w:val="center"/>
            <w:hideMark/>
          </w:tcPr>
          <w:p w14:paraId="04951306"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660790D7"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1EDA78F" w14:textId="77777777" w:rsidTr="009A048A">
        <w:trPr>
          <w:tblCellSpacing w:w="15" w:type="dxa"/>
        </w:trPr>
        <w:tc>
          <w:tcPr>
            <w:tcW w:w="0" w:type="auto"/>
            <w:vAlign w:val="center"/>
            <w:hideMark/>
          </w:tcPr>
          <w:p w14:paraId="4C75F12A"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QSR si basa su dati verificabili, indicatori armonizzati ove possibile, trasparenza delle fonti, comparabilità temporale e approccio precauzionale.</w:t>
            </w:r>
          </w:p>
        </w:tc>
        <w:tc>
          <w:tcPr>
            <w:tcW w:w="0" w:type="auto"/>
            <w:vAlign w:val="center"/>
            <w:hideMark/>
          </w:tcPr>
          <w:p w14:paraId="63B1AAAD"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QSR repose sur des données vérifiables, des indicateurs harmonisés lorsque possible, la transparence des sources, la comparabilité temporelle et une approche de précaution.</w:t>
            </w:r>
          </w:p>
        </w:tc>
      </w:tr>
    </w:tbl>
    <w:p w14:paraId="0541E455"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3374EEB">
          <v:rect id="_x0000_i1033" alt="" style="width:451.3pt;height:.05pt;mso-width-percent:0;mso-height-percent:0;mso-width-percent:0;mso-height-percent:0" o:hralign="center" o:hrstd="t" o:hr="t" fillcolor="#a0a0a0" stroked="f"/>
        </w:pict>
      </w:r>
    </w:p>
    <w:p w14:paraId="4BE13A04" w14:textId="77777777" w:rsidR="00E0495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p>
    <w:p w14:paraId="1A7B7A94"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7. Assetto istituzionale / Dispositif institutionnel</w:t>
      </w:r>
    </w:p>
    <w:p w14:paraId="0E1A526A" w14:textId="77777777" w:rsidR="00E04959" w:rsidRPr="00C31B19" w:rsidRDefault="00E04959" w:rsidP="00E04959">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C31B19">
        <w:rPr>
          <w:rFonts w:ascii="Times New Roman" w:eastAsia="Times New Roman" w:hAnsi="Times New Roman" w:cs="Times New Roman"/>
          <w:b/>
          <w:bCs/>
          <w:color w:val="000000"/>
          <w:sz w:val="27"/>
          <w:szCs w:val="27"/>
          <w:lang w:eastAsia="en-GB"/>
        </w:rPr>
        <w:t>7.1 Segretariato / Secrétariat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6"/>
        <w:gridCol w:w="4732"/>
      </w:tblGrid>
      <w:tr w:rsidR="00E04959" w:rsidRPr="00C31B19" w14:paraId="14D5002A" w14:textId="77777777" w:rsidTr="009A048A">
        <w:trPr>
          <w:tblHeader/>
          <w:tblCellSpacing w:w="15" w:type="dxa"/>
        </w:trPr>
        <w:tc>
          <w:tcPr>
            <w:tcW w:w="0" w:type="auto"/>
            <w:vAlign w:val="center"/>
            <w:hideMark/>
          </w:tcPr>
          <w:p w14:paraId="22D86D66"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63E9A111"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5EF2A98E" w14:textId="77777777" w:rsidTr="009A048A">
        <w:trPr>
          <w:tblCellSpacing w:w="15" w:type="dxa"/>
        </w:trPr>
        <w:tc>
          <w:tcPr>
            <w:tcW w:w="0" w:type="auto"/>
            <w:vAlign w:val="center"/>
            <w:hideMark/>
          </w:tcPr>
          <w:p w14:paraId="4A740FD1"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 xml:space="preserve">Il Segretariato coordina il processo, assicura il supporto amministrativo e tecnico, organizza le </w:t>
            </w:r>
            <w:r w:rsidRPr="00C31B19">
              <w:rPr>
                <w:rFonts w:ascii="Times New Roman" w:eastAsia="Times New Roman" w:hAnsi="Times New Roman" w:cs="Times New Roman"/>
                <w:color w:val="000000"/>
                <w:lang w:eastAsia="en-GB"/>
              </w:rPr>
              <w:lastRenderedPageBreak/>
              <w:t>consultazioni e trasmette il testo finale alle Parti contraenti.</w:t>
            </w:r>
          </w:p>
        </w:tc>
        <w:tc>
          <w:tcPr>
            <w:tcW w:w="0" w:type="auto"/>
            <w:vAlign w:val="center"/>
            <w:hideMark/>
          </w:tcPr>
          <w:p w14:paraId="618FA67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lastRenderedPageBreak/>
              <w:t xml:space="preserve">Le Secrétariat coordonne le processus, assure l’appui administratif et technique, organise les </w:t>
            </w:r>
            <w:r w:rsidRPr="00C31B19">
              <w:rPr>
                <w:rFonts w:ascii="Times New Roman" w:eastAsia="Times New Roman" w:hAnsi="Times New Roman" w:cs="Times New Roman"/>
                <w:color w:val="000000"/>
                <w:lang w:eastAsia="en-GB"/>
              </w:rPr>
              <w:lastRenderedPageBreak/>
              <w:t>consultations et transmet le texte final aux Parties contractantes.</w:t>
            </w:r>
          </w:p>
        </w:tc>
      </w:tr>
    </w:tbl>
    <w:p w14:paraId="1E5F8381" w14:textId="77777777" w:rsidR="00E04959" w:rsidRPr="00C31B19" w:rsidRDefault="00E04959" w:rsidP="00E04959">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C31B19">
        <w:rPr>
          <w:rFonts w:ascii="Times New Roman" w:eastAsia="Times New Roman" w:hAnsi="Times New Roman" w:cs="Times New Roman"/>
          <w:b/>
          <w:bCs/>
          <w:color w:val="000000"/>
          <w:sz w:val="27"/>
          <w:szCs w:val="27"/>
          <w:lang w:eastAsia="en-GB"/>
        </w:rPr>
        <w:lastRenderedPageBreak/>
        <w:t>7.2 Comitato editoriale / Comité éditorial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9"/>
        <w:gridCol w:w="4939"/>
      </w:tblGrid>
      <w:tr w:rsidR="00E04959" w:rsidRPr="00C31B19" w14:paraId="7646CBD1" w14:textId="77777777" w:rsidTr="009A048A">
        <w:trPr>
          <w:tblHeader/>
          <w:tblCellSpacing w:w="15" w:type="dxa"/>
        </w:trPr>
        <w:tc>
          <w:tcPr>
            <w:tcW w:w="0" w:type="auto"/>
            <w:vAlign w:val="center"/>
            <w:hideMark/>
          </w:tcPr>
          <w:p w14:paraId="5144BA50"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54AC6FB8"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2D772DE" w14:textId="77777777" w:rsidTr="009A048A">
        <w:trPr>
          <w:tblCellSpacing w:w="15" w:type="dxa"/>
        </w:trPr>
        <w:tc>
          <w:tcPr>
            <w:tcW w:w="0" w:type="auto"/>
            <w:vAlign w:val="center"/>
            <w:hideMark/>
          </w:tcPr>
          <w:p w14:paraId="1506194C"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È istituito un Comitato editoriale incaricato di garantire qualità scientifica, coerenza redazionale e validazione tecnica del rapporto.</w:t>
            </w:r>
          </w:p>
        </w:tc>
        <w:tc>
          <w:tcPr>
            <w:tcW w:w="0" w:type="auto"/>
            <w:vAlign w:val="center"/>
            <w:hideMark/>
          </w:tcPr>
          <w:p w14:paraId="26054291"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est institué un Comité éditorial chargé d’assurer la qualité scientifique, la cohérence rédactionnelle et la validation technique du rapport.</w:t>
            </w:r>
          </w:p>
        </w:tc>
      </w:tr>
    </w:tbl>
    <w:p w14:paraId="0E5E7F59" w14:textId="77777777" w:rsidR="00E04959" w:rsidRPr="00C31B19" w:rsidRDefault="00E04959" w:rsidP="00E04959">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C31B19">
        <w:rPr>
          <w:rFonts w:ascii="Times New Roman" w:eastAsia="Times New Roman" w:hAnsi="Times New Roman" w:cs="Times New Roman"/>
          <w:b/>
          <w:bCs/>
          <w:color w:val="000000"/>
          <w:sz w:val="27"/>
          <w:szCs w:val="27"/>
          <w:lang w:eastAsia="en-GB"/>
        </w:rPr>
        <w:t>7.3 Gruppi di lavoro / Groupes de travail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9"/>
        <w:gridCol w:w="5229"/>
      </w:tblGrid>
      <w:tr w:rsidR="00E04959" w:rsidRPr="00C31B19" w14:paraId="4150554E" w14:textId="77777777" w:rsidTr="009A048A">
        <w:trPr>
          <w:tblHeader/>
          <w:tblCellSpacing w:w="15" w:type="dxa"/>
        </w:trPr>
        <w:tc>
          <w:tcPr>
            <w:tcW w:w="0" w:type="auto"/>
            <w:vAlign w:val="center"/>
            <w:hideMark/>
          </w:tcPr>
          <w:p w14:paraId="5A4844DC"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2186895C"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F01599C" w14:textId="77777777" w:rsidTr="009A048A">
        <w:trPr>
          <w:tblCellSpacing w:w="15" w:type="dxa"/>
        </w:trPr>
        <w:tc>
          <w:tcPr>
            <w:tcW w:w="0" w:type="auto"/>
            <w:vAlign w:val="center"/>
            <w:hideMark/>
          </w:tcPr>
          <w:p w14:paraId="41E564B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 Gruppi di lavoro contribuiscono con dati, analisi, testi tematici, revisione tecnica e proposte operative.</w:t>
            </w:r>
          </w:p>
        </w:tc>
        <w:tc>
          <w:tcPr>
            <w:tcW w:w="0" w:type="auto"/>
            <w:vAlign w:val="center"/>
            <w:hideMark/>
          </w:tcPr>
          <w:p w14:paraId="18563A25"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Les Groupes de travail contribuent par des données, analyses, textes thématiques, révision technique et propositions opérationnelles.</w:t>
            </w:r>
          </w:p>
        </w:tc>
      </w:tr>
    </w:tbl>
    <w:p w14:paraId="31D78A0B" w14:textId="77777777" w:rsidR="00E04959" w:rsidRPr="00C31B19" w:rsidRDefault="00E04959" w:rsidP="00E04959">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C31B19">
        <w:rPr>
          <w:rFonts w:ascii="Times New Roman" w:eastAsia="Times New Roman" w:hAnsi="Times New Roman" w:cs="Times New Roman"/>
          <w:b/>
          <w:bCs/>
          <w:color w:val="000000"/>
          <w:sz w:val="27"/>
          <w:szCs w:val="27"/>
          <w:lang w:eastAsia="en-GB"/>
        </w:rPr>
        <w:t>7.4 Esperti esterni / Experts externes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7"/>
        <w:gridCol w:w="5071"/>
      </w:tblGrid>
      <w:tr w:rsidR="00E04959" w:rsidRPr="00C31B19" w14:paraId="33B7825C" w14:textId="77777777" w:rsidTr="009A048A">
        <w:trPr>
          <w:tblHeader/>
          <w:tblCellSpacing w:w="15" w:type="dxa"/>
        </w:trPr>
        <w:tc>
          <w:tcPr>
            <w:tcW w:w="0" w:type="auto"/>
            <w:vAlign w:val="center"/>
            <w:hideMark/>
          </w:tcPr>
          <w:p w14:paraId="34D78FB4"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4CB0BFB6"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089EB0C4" w14:textId="77777777" w:rsidTr="009A048A">
        <w:trPr>
          <w:tblCellSpacing w:w="15" w:type="dxa"/>
        </w:trPr>
        <w:tc>
          <w:tcPr>
            <w:tcW w:w="0" w:type="auto"/>
            <w:vAlign w:val="center"/>
            <w:hideMark/>
          </w:tcPr>
          <w:p w14:paraId="2210C3B6" w14:textId="77777777" w:rsidR="00E04959" w:rsidRPr="00E04959" w:rsidRDefault="00E04959" w:rsidP="009A048A">
            <w:pPr>
              <w:rPr>
                <w:rFonts w:ascii="Times New Roman" w:eastAsia="Times New Roman" w:hAnsi="Times New Roman" w:cs="Times New Roman"/>
                <w:color w:val="000000"/>
                <w:lang w:val="en-GB" w:eastAsia="en-GB"/>
              </w:rPr>
            </w:pPr>
            <w:r w:rsidRPr="00E04959">
              <w:rPr>
                <w:rFonts w:ascii="Times New Roman" w:eastAsia="Times New Roman" w:hAnsi="Times New Roman" w:cs="Times New Roman"/>
                <w:color w:val="000000"/>
                <w:lang w:val="en-GB" w:eastAsia="en-GB"/>
              </w:rPr>
              <w:t>Possono essere coinvolti esperti indipendenti per supporto specialistico, peer review e validazione metodologica.</w:t>
            </w:r>
          </w:p>
        </w:tc>
        <w:tc>
          <w:tcPr>
            <w:tcW w:w="0" w:type="auto"/>
            <w:vAlign w:val="center"/>
            <w:hideMark/>
          </w:tcPr>
          <w:p w14:paraId="7830F11C"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Des experts indépendants peuvent être mobilisés pour un appui spécialisé, la revue par les pairs et la validation méthodologique.</w:t>
            </w:r>
          </w:p>
        </w:tc>
      </w:tr>
    </w:tbl>
    <w:p w14:paraId="4AF010C4"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3835A9B">
          <v:rect id="_x0000_i1032" alt="" style="width:451.3pt;height:.05pt;mso-width-percent:0;mso-height-percent:0;mso-width-percent:0;mso-height-percent:0" o:hralign="center" o:hrstd="t" o:hr="t" fillcolor="#a0a0a0" stroked="f"/>
        </w:pict>
      </w:r>
    </w:p>
    <w:p w14:paraId="76C00691"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8. Governance / Gouvernance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6"/>
        <w:gridCol w:w="4892"/>
      </w:tblGrid>
      <w:tr w:rsidR="00E04959" w:rsidRPr="00C31B19" w14:paraId="3A3B89FF" w14:textId="77777777" w:rsidTr="009A048A">
        <w:trPr>
          <w:tblHeader/>
          <w:tblCellSpacing w:w="15" w:type="dxa"/>
        </w:trPr>
        <w:tc>
          <w:tcPr>
            <w:tcW w:w="0" w:type="auto"/>
            <w:vAlign w:val="center"/>
            <w:hideMark/>
          </w:tcPr>
          <w:p w14:paraId="3FC8E0F0"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186A1F32"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6B97EC97" w14:textId="77777777" w:rsidTr="009A048A">
        <w:trPr>
          <w:tblCellSpacing w:w="15" w:type="dxa"/>
        </w:trPr>
        <w:tc>
          <w:tcPr>
            <w:tcW w:w="0" w:type="auto"/>
            <w:vAlign w:val="center"/>
            <w:hideMark/>
          </w:tcPr>
          <w:p w14:paraId="1929C465"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QSR comprende una sezione dedicata alla governance del Santuario, includendo cooperazione tra le Parti contraenti, attuazione delle decisioni della Conferenza delle Parti, coordinamento interistituzionale, funzionamento dei gruppi tecnici, capacità amministrativa e raccomandazioni per il rafforzamento della governance.</w:t>
            </w:r>
          </w:p>
        </w:tc>
        <w:tc>
          <w:tcPr>
            <w:tcW w:w="0" w:type="auto"/>
            <w:vAlign w:val="center"/>
            <w:hideMark/>
          </w:tcPr>
          <w:p w14:paraId="7260187A"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QSR comprend une section consacrée à la gouvernance du Sanctuaire, incluant la coopération entre les Parties contractantes, la mise en œuvre des décisions de la Conférence des Parties, la coordination interinstitutionnelle, le fonctionnement des groupes techniques, la capacité administrative et des recommandations pour renforcer la gouvernance.</w:t>
            </w:r>
          </w:p>
        </w:tc>
      </w:tr>
    </w:tbl>
    <w:p w14:paraId="3E5C48D4"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BA116BE">
          <v:rect id="_x0000_i1031" alt="" style="width:451.3pt;height:.05pt;mso-width-percent:0;mso-height-percent:0;mso-width-percent:0;mso-height-percent:0" o:hralign="center" o:hrstd="t" o:hr="t" fillcolor="#a0a0a0" stroked="f"/>
        </w:pict>
      </w:r>
    </w:p>
    <w:p w14:paraId="7562BD1C"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9. Procedura / Procédure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4"/>
        <w:gridCol w:w="4724"/>
      </w:tblGrid>
      <w:tr w:rsidR="00E04959" w:rsidRPr="00C31B19" w14:paraId="4A367B84" w14:textId="77777777" w:rsidTr="009A048A">
        <w:trPr>
          <w:tblHeader/>
          <w:tblCellSpacing w:w="15" w:type="dxa"/>
        </w:trPr>
        <w:tc>
          <w:tcPr>
            <w:tcW w:w="0" w:type="auto"/>
            <w:vAlign w:val="center"/>
            <w:hideMark/>
          </w:tcPr>
          <w:p w14:paraId="67FDE20A"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11D5980A"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747CF8E" w14:textId="77777777" w:rsidTr="009A048A">
        <w:trPr>
          <w:tblCellSpacing w:w="15" w:type="dxa"/>
        </w:trPr>
        <w:tc>
          <w:tcPr>
            <w:tcW w:w="0" w:type="auto"/>
            <w:vAlign w:val="center"/>
            <w:hideMark/>
          </w:tcPr>
          <w:p w14:paraId="272D6686"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processo comprende: a) fase di definizione; b) raccolta dati e redazione; c) consultazione e revisione scientifica; d) finalizzazione; e) presentazione alla Conferenza delle Parti.</w:t>
            </w:r>
          </w:p>
        </w:tc>
        <w:tc>
          <w:tcPr>
            <w:tcW w:w="0" w:type="auto"/>
            <w:vAlign w:val="center"/>
            <w:hideMark/>
          </w:tcPr>
          <w:p w14:paraId="13C2E7E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processus comprend : a) phase de cadrage ; b) collecte des données et rédaction ; c) consultation et révision scientifique ; d) finalisation ; e) présentation à la Conférence des Parties.</w:t>
            </w:r>
          </w:p>
        </w:tc>
      </w:tr>
    </w:tbl>
    <w:p w14:paraId="58F2425E"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5BE6730B">
          <v:rect id="_x0000_i1030" alt="" style="width:451.3pt;height:.05pt;mso-width-percent:0;mso-height-percent:0;mso-width-percent:0;mso-height-percent:0" o:hralign="center" o:hrstd="t" o:hr="t" fillcolor="#a0a0a0" stroked="f"/>
        </w:pict>
      </w:r>
    </w:p>
    <w:p w14:paraId="60E8EA6F"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lastRenderedPageBreak/>
        <w:t>10. Tempistica / Calendrier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7"/>
        <w:gridCol w:w="4841"/>
      </w:tblGrid>
      <w:tr w:rsidR="00E04959" w:rsidRPr="00C31B19" w14:paraId="7CD856C1" w14:textId="77777777" w:rsidTr="009A048A">
        <w:trPr>
          <w:tblHeader/>
          <w:tblCellSpacing w:w="15" w:type="dxa"/>
        </w:trPr>
        <w:tc>
          <w:tcPr>
            <w:tcW w:w="0" w:type="auto"/>
            <w:vAlign w:val="center"/>
            <w:hideMark/>
          </w:tcPr>
          <w:p w14:paraId="62769FCE"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7BDD88DC"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6F9FD2BF" w14:textId="77777777" w:rsidTr="009A048A">
        <w:trPr>
          <w:tblCellSpacing w:w="15" w:type="dxa"/>
        </w:trPr>
        <w:tc>
          <w:tcPr>
            <w:tcW w:w="0" w:type="auto"/>
            <w:vAlign w:val="center"/>
            <w:hideMark/>
          </w:tcPr>
          <w:p w14:paraId="12852D77"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ciclo ordinario del QSR è di sei anni. Aggiornamenti intermedi o rapporti tematici possono essere predisposti quando ritenuto opportuno dalle Parti contraenti.</w:t>
            </w:r>
          </w:p>
        </w:tc>
        <w:tc>
          <w:tcPr>
            <w:tcW w:w="0" w:type="auto"/>
            <w:vAlign w:val="center"/>
            <w:hideMark/>
          </w:tcPr>
          <w:p w14:paraId="1A2DF1BE"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cycle ordinaire du QSR est de six ans. Des mises à jour intermédiaires ou rapports thématiques peuvent être préparés lorsque les Parties contractantes le jugent opportun.</w:t>
            </w:r>
          </w:p>
        </w:tc>
      </w:tr>
    </w:tbl>
    <w:p w14:paraId="6164E996"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C349FD9">
          <v:rect id="_x0000_i1029" alt="" style="width:451.3pt;height:.05pt;mso-width-percent:0;mso-height-percent:0;mso-width-percent:0;mso-height-percent:0" o:hralign="center" o:hrstd="t" o:hr="t" fillcolor="#a0a0a0" stroked="f"/>
        </w:pict>
      </w:r>
    </w:p>
    <w:p w14:paraId="77621799"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11. Prodotti finali / Produits finaux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9"/>
        <w:gridCol w:w="4959"/>
      </w:tblGrid>
      <w:tr w:rsidR="00E04959" w:rsidRPr="00C31B19" w14:paraId="675F142D" w14:textId="77777777" w:rsidTr="009A048A">
        <w:trPr>
          <w:tblHeader/>
          <w:tblCellSpacing w:w="15" w:type="dxa"/>
        </w:trPr>
        <w:tc>
          <w:tcPr>
            <w:tcW w:w="0" w:type="auto"/>
            <w:vAlign w:val="center"/>
            <w:hideMark/>
          </w:tcPr>
          <w:p w14:paraId="09304F4F"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1D5F2D71"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70E1AFF2" w14:textId="77777777" w:rsidTr="009A048A">
        <w:trPr>
          <w:tblCellSpacing w:w="15" w:type="dxa"/>
        </w:trPr>
        <w:tc>
          <w:tcPr>
            <w:tcW w:w="0" w:type="auto"/>
            <w:vAlign w:val="center"/>
            <w:hideMark/>
          </w:tcPr>
          <w:p w14:paraId="4595F12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processo produce: rapporto tecnico completo, sintesi per decisori, annex tecnici, indicatori aggiornati e materiali di comunicazione istituzionale.</w:t>
            </w:r>
          </w:p>
        </w:tc>
        <w:tc>
          <w:tcPr>
            <w:tcW w:w="0" w:type="auto"/>
            <w:vAlign w:val="center"/>
            <w:hideMark/>
          </w:tcPr>
          <w:p w14:paraId="2451CAE6"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processus produit : rapport technique complet, résumé pour décideurs, annexes techniques, indicateurs actualisés et supports de communication institutionnelle.</w:t>
            </w:r>
          </w:p>
        </w:tc>
      </w:tr>
    </w:tbl>
    <w:p w14:paraId="1D27C151"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317EFD4">
          <v:rect id="_x0000_i1028" alt="" style="width:451.3pt;height:.05pt;mso-width-percent:0;mso-height-percent:0;mso-width-percent:0;mso-height-percent:0" o:hralign="center" o:hrstd="t" o:hr="t" fillcolor="#a0a0a0" stroked="f"/>
        </w:pict>
      </w:r>
    </w:p>
    <w:p w14:paraId="192FF135"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12. Adozione / Adoption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3"/>
        <w:gridCol w:w="4745"/>
      </w:tblGrid>
      <w:tr w:rsidR="00E04959" w:rsidRPr="00C31B19" w14:paraId="2F532FD0" w14:textId="77777777" w:rsidTr="009A048A">
        <w:trPr>
          <w:tblHeader/>
          <w:tblCellSpacing w:w="15" w:type="dxa"/>
        </w:trPr>
        <w:tc>
          <w:tcPr>
            <w:tcW w:w="0" w:type="auto"/>
            <w:vAlign w:val="center"/>
            <w:hideMark/>
          </w:tcPr>
          <w:p w14:paraId="5F453B3E"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7DFEB42D"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13C5843F" w14:textId="77777777" w:rsidTr="009A048A">
        <w:trPr>
          <w:tblCellSpacing w:w="15" w:type="dxa"/>
        </w:trPr>
        <w:tc>
          <w:tcPr>
            <w:tcW w:w="0" w:type="auto"/>
            <w:vAlign w:val="center"/>
            <w:hideMark/>
          </w:tcPr>
          <w:p w14:paraId="255E1601"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Il QSR è sottoposto alla Conferenza delle Parti per esame, eventuale emendamento e adozione formale.</w:t>
            </w:r>
          </w:p>
        </w:tc>
        <w:tc>
          <w:tcPr>
            <w:tcW w:w="0" w:type="auto"/>
            <w:vAlign w:val="center"/>
            <w:hideMark/>
          </w:tcPr>
          <w:p w14:paraId="257EFD3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QSR est soumis à la Conférence des Parties pour examen, éventuel amendement et adoption formelle.</w:t>
            </w:r>
          </w:p>
        </w:tc>
      </w:tr>
    </w:tbl>
    <w:p w14:paraId="1B6F2720"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2AB7E6E">
          <v:rect id="_x0000_i1027" alt="" style="width:451.3pt;height:.05pt;mso-width-percent:0;mso-height-percent:0;mso-width-percent:0;mso-height-percent:0" o:hralign="center" o:hrstd="t" o:hr="t" fillcolor="#a0a0a0" stroked="f"/>
        </w:pict>
      </w:r>
    </w:p>
    <w:p w14:paraId="123CBFFC"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13. Risorse / Ressources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2"/>
        <w:gridCol w:w="5046"/>
      </w:tblGrid>
      <w:tr w:rsidR="00E04959" w:rsidRPr="00C31B19" w14:paraId="44BA5951" w14:textId="77777777" w:rsidTr="009A048A">
        <w:trPr>
          <w:tblHeader/>
          <w:tblCellSpacing w:w="15" w:type="dxa"/>
        </w:trPr>
        <w:tc>
          <w:tcPr>
            <w:tcW w:w="0" w:type="auto"/>
            <w:vAlign w:val="center"/>
            <w:hideMark/>
          </w:tcPr>
          <w:p w14:paraId="3F9DD35B"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24C2155D"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921F1E3" w14:textId="77777777" w:rsidTr="009A048A">
        <w:trPr>
          <w:tblCellSpacing w:w="15" w:type="dxa"/>
        </w:trPr>
        <w:tc>
          <w:tcPr>
            <w:tcW w:w="0" w:type="auto"/>
            <w:vAlign w:val="center"/>
            <w:hideMark/>
          </w:tcPr>
          <w:p w14:paraId="3C014BAC"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L’attuazione delle presenti ToR è subordinata alla disponibilità di risorse finanziarie e umane, mobilitate conformemente alle decisioni delle Parti contraenti.</w:t>
            </w:r>
          </w:p>
        </w:tc>
        <w:tc>
          <w:tcPr>
            <w:tcW w:w="0" w:type="auto"/>
            <w:vAlign w:val="center"/>
            <w:hideMark/>
          </w:tcPr>
          <w:p w14:paraId="18C0D7C2"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La mise en œuvre des présents termes de référence est subordonnée à la disponibilité de ressources financières et humaines, mobilisées conformément aux décisions des Parties contractantes.</w:t>
            </w:r>
          </w:p>
        </w:tc>
      </w:tr>
    </w:tbl>
    <w:p w14:paraId="66496515"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C709B1A">
          <v:rect id="_x0000_i1026" alt="" style="width:451.3pt;height:.05pt;mso-width-percent:0;mso-height-percent:0;mso-width-percent:0;mso-height-percent:0" o:hralign="center" o:hrstd="t" o:hr="t" fillcolor="#a0a0a0" stroked="f"/>
        </w:pict>
      </w:r>
    </w:p>
    <w:p w14:paraId="28B7CBBE" w14:textId="77777777" w:rsidR="00E04959" w:rsidRPr="00C31B19" w:rsidRDefault="00E04959" w:rsidP="00E04959">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C31B19">
        <w:rPr>
          <w:rFonts w:ascii="Times New Roman" w:eastAsia="Times New Roman" w:hAnsi="Times New Roman" w:cs="Times New Roman"/>
          <w:b/>
          <w:bCs/>
          <w:color w:val="000000"/>
          <w:sz w:val="36"/>
          <w:szCs w:val="36"/>
          <w:lang w:eastAsia="en-GB"/>
        </w:rPr>
        <w:t>14. Disposizioni finali / Dispositions finales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8"/>
        <w:gridCol w:w="4900"/>
      </w:tblGrid>
      <w:tr w:rsidR="00E04959" w:rsidRPr="00C31B19" w14:paraId="670B77C0" w14:textId="77777777" w:rsidTr="009A048A">
        <w:trPr>
          <w:tblHeader/>
          <w:tblCellSpacing w:w="15" w:type="dxa"/>
        </w:trPr>
        <w:tc>
          <w:tcPr>
            <w:tcW w:w="0" w:type="auto"/>
            <w:vAlign w:val="center"/>
            <w:hideMark/>
          </w:tcPr>
          <w:p w14:paraId="2E100E31"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Italiano</w:t>
            </w:r>
          </w:p>
        </w:tc>
        <w:tc>
          <w:tcPr>
            <w:tcW w:w="0" w:type="auto"/>
            <w:vAlign w:val="center"/>
            <w:hideMark/>
          </w:tcPr>
          <w:p w14:paraId="38FD434B" w14:textId="77777777" w:rsidR="00E04959" w:rsidRPr="00C31B19" w:rsidRDefault="00E04959" w:rsidP="009A048A">
            <w:pPr>
              <w:jc w:val="center"/>
              <w:rPr>
                <w:rFonts w:ascii="Times New Roman" w:eastAsia="Times New Roman" w:hAnsi="Times New Roman" w:cs="Times New Roman"/>
                <w:b/>
                <w:bCs/>
                <w:color w:val="000000"/>
                <w:lang w:eastAsia="en-GB"/>
              </w:rPr>
            </w:pPr>
            <w:r w:rsidRPr="00C31B19">
              <w:rPr>
                <w:rFonts w:ascii="Times New Roman" w:eastAsia="Times New Roman" w:hAnsi="Times New Roman" w:cs="Times New Roman"/>
                <w:b/>
                <w:bCs/>
                <w:color w:val="000000"/>
                <w:lang w:eastAsia="en-GB"/>
              </w:rPr>
              <w:t>Français</w:t>
            </w:r>
          </w:p>
        </w:tc>
      </w:tr>
      <w:tr w:rsidR="00E04959" w:rsidRPr="00C31B19" w14:paraId="34FDFC30" w14:textId="77777777" w:rsidTr="009A048A">
        <w:trPr>
          <w:tblCellSpacing w:w="15" w:type="dxa"/>
        </w:trPr>
        <w:tc>
          <w:tcPr>
            <w:tcW w:w="0" w:type="auto"/>
            <w:vAlign w:val="center"/>
            <w:hideMark/>
          </w:tcPr>
          <w:p w14:paraId="3DFDE2F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 presenti ToR possono essere modificate dalla Conferenza delle Parti in funzione dell’evoluzione delle esigenze scientifiche, tecniche o istituzionali.</w:t>
            </w:r>
          </w:p>
        </w:tc>
        <w:tc>
          <w:tcPr>
            <w:tcW w:w="0" w:type="auto"/>
            <w:vAlign w:val="center"/>
            <w:hideMark/>
          </w:tcPr>
          <w:p w14:paraId="4FF9960B" w14:textId="77777777" w:rsidR="00E04959" w:rsidRPr="00C31B19" w:rsidRDefault="00E04959" w:rsidP="009A048A">
            <w:pPr>
              <w:rPr>
                <w:rFonts w:ascii="Times New Roman" w:eastAsia="Times New Roman" w:hAnsi="Times New Roman" w:cs="Times New Roman"/>
                <w:color w:val="000000"/>
                <w:lang w:eastAsia="en-GB"/>
              </w:rPr>
            </w:pPr>
            <w:r w:rsidRPr="00C31B19">
              <w:rPr>
                <w:rFonts w:ascii="Times New Roman" w:eastAsia="Times New Roman" w:hAnsi="Times New Roman" w:cs="Times New Roman"/>
                <w:color w:val="000000"/>
                <w:lang w:eastAsia="en-GB"/>
              </w:rPr>
              <w:t>Les présents termes de référence peuvent être modifiés par la Conférence des Parties en fonction de l’évolution des besoins scientifiques, techniques ou institutionnels.</w:t>
            </w:r>
          </w:p>
        </w:tc>
      </w:tr>
    </w:tbl>
    <w:p w14:paraId="0EC08F43" w14:textId="77777777" w:rsidR="00E04959" w:rsidRPr="00C31B19" w:rsidRDefault="00543508" w:rsidP="00E0495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2A51EF5D">
          <v:rect id="_x0000_i1025" alt="" style="width:451.3pt;height:.05pt;mso-width-percent:0;mso-height-percent:0;mso-width-percent:0;mso-height-percent:0" o:hralign="center" o:hrstd="t" o:hr="t" fillcolor="#a0a0a0" stroked="f"/>
        </w:pict>
      </w:r>
    </w:p>
    <w:p w14:paraId="0C44BE4E" w14:textId="77777777" w:rsidR="00E04959" w:rsidRDefault="00E04959" w:rsidP="00E04959"/>
    <w:p w14:paraId="486EDB60" w14:textId="77777777" w:rsidR="00B0538F" w:rsidRPr="00855C86" w:rsidRDefault="00B0538F" w:rsidP="00372961">
      <w:pPr>
        <w:rPr>
          <w:lang w:val="en-GB"/>
        </w:rPr>
      </w:pPr>
    </w:p>
    <w:p w14:paraId="191B8F43" w14:textId="77777777" w:rsidR="00B0538F" w:rsidRPr="00855C86" w:rsidRDefault="00B0538F" w:rsidP="00372961">
      <w:pPr>
        <w:rPr>
          <w:lang w:val="en-GB"/>
        </w:rPr>
      </w:pPr>
    </w:p>
    <w:p w14:paraId="12DB51CA" w14:textId="77777777" w:rsidR="00B0538F" w:rsidRPr="00855C86" w:rsidRDefault="00B0538F" w:rsidP="00372961">
      <w:pPr>
        <w:rPr>
          <w:lang w:val="en-GB"/>
        </w:rPr>
      </w:pPr>
    </w:p>
    <w:p w14:paraId="05625A86" w14:textId="77777777" w:rsidR="00B0538F" w:rsidRPr="00855C86" w:rsidRDefault="00B0538F" w:rsidP="00372961">
      <w:pPr>
        <w:rPr>
          <w:lang w:val="en-GB"/>
        </w:rPr>
      </w:pPr>
    </w:p>
    <w:p w14:paraId="5255E22D" w14:textId="77777777" w:rsidR="00B0538F" w:rsidRPr="00855C86" w:rsidRDefault="00B0538F" w:rsidP="00372961">
      <w:pPr>
        <w:rPr>
          <w:lang w:val="en-GB"/>
        </w:rPr>
      </w:pPr>
    </w:p>
    <w:p w14:paraId="06622DB2" w14:textId="77777777" w:rsidR="00B0538F" w:rsidRPr="00855C86" w:rsidRDefault="00B0538F" w:rsidP="00372961">
      <w:pPr>
        <w:rPr>
          <w:lang w:val="en-GB"/>
        </w:rPr>
      </w:pPr>
    </w:p>
    <w:p w14:paraId="6352DBB6" w14:textId="77777777" w:rsidR="00B0538F" w:rsidRPr="00855C86" w:rsidRDefault="00B0538F" w:rsidP="00372961">
      <w:pPr>
        <w:rPr>
          <w:lang w:val="en-GB"/>
        </w:rPr>
      </w:pPr>
    </w:p>
    <w:p w14:paraId="7DF8922F" w14:textId="77777777" w:rsidR="00B0538F" w:rsidRPr="00855C86" w:rsidRDefault="00B0538F" w:rsidP="00372961">
      <w:pPr>
        <w:rPr>
          <w:lang w:val="en-GB"/>
        </w:rPr>
      </w:pPr>
    </w:p>
    <w:p w14:paraId="452F93F4" w14:textId="77777777" w:rsidR="00B0538F" w:rsidRPr="00855C86" w:rsidRDefault="00B0538F" w:rsidP="00372961">
      <w:pPr>
        <w:rPr>
          <w:lang w:val="en-GB"/>
        </w:rPr>
      </w:pPr>
    </w:p>
    <w:p w14:paraId="70CFCBEE" w14:textId="77777777" w:rsidR="00B0538F" w:rsidRPr="00855C86" w:rsidRDefault="00B0538F" w:rsidP="00372961">
      <w:pPr>
        <w:rPr>
          <w:lang w:val="en-GB"/>
        </w:rPr>
      </w:pPr>
    </w:p>
    <w:p w14:paraId="24F8DD3C" w14:textId="77777777" w:rsidR="00B0538F" w:rsidRPr="00855C86" w:rsidRDefault="00B0538F" w:rsidP="00372961">
      <w:pPr>
        <w:rPr>
          <w:lang w:val="en-GB"/>
        </w:rPr>
      </w:pPr>
    </w:p>
    <w:p w14:paraId="5364F7B7" w14:textId="77777777" w:rsidR="00B0538F" w:rsidRPr="00855C86" w:rsidRDefault="00B0538F" w:rsidP="00372961">
      <w:pPr>
        <w:rPr>
          <w:lang w:val="en-GB"/>
        </w:rPr>
      </w:pPr>
    </w:p>
    <w:p w14:paraId="444BCF98" w14:textId="77777777" w:rsidR="00B0538F" w:rsidRPr="00855C86" w:rsidRDefault="00B0538F" w:rsidP="00372961">
      <w:pPr>
        <w:rPr>
          <w:lang w:val="en-GB"/>
        </w:rPr>
      </w:pPr>
    </w:p>
    <w:p w14:paraId="497E5247" w14:textId="77777777" w:rsidR="00B0538F" w:rsidRPr="00855C86" w:rsidRDefault="00B0538F" w:rsidP="00372961">
      <w:pPr>
        <w:rPr>
          <w:lang w:val="en-GB"/>
        </w:rPr>
      </w:pPr>
    </w:p>
    <w:p w14:paraId="11CBFC5B" w14:textId="77777777" w:rsidR="00B0538F" w:rsidRPr="00855C86" w:rsidRDefault="00B0538F" w:rsidP="00372961">
      <w:pPr>
        <w:rPr>
          <w:lang w:val="en-GB"/>
        </w:rPr>
      </w:pPr>
    </w:p>
    <w:p w14:paraId="76320AD4" w14:textId="77777777" w:rsidR="00B0538F" w:rsidRPr="00855C86" w:rsidRDefault="00B0538F" w:rsidP="00372961">
      <w:pPr>
        <w:rPr>
          <w:lang w:val="en-GB"/>
        </w:rPr>
      </w:pPr>
    </w:p>
    <w:p w14:paraId="55BE1005" w14:textId="77777777" w:rsidR="00B0538F" w:rsidRPr="00855C86" w:rsidRDefault="00B0538F" w:rsidP="00372961">
      <w:pPr>
        <w:rPr>
          <w:lang w:val="en-GB"/>
        </w:rPr>
      </w:pPr>
    </w:p>
    <w:p w14:paraId="07CBA439" w14:textId="77777777" w:rsidR="00B0538F" w:rsidRPr="00855C86" w:rsidRDefault="00B0538F" w:rsidP="00372961">
      <w:pPr>
        <w:rPr>
          <w:lang w:val="en-GB"/>
        </w:rPr>
      </w:pPr>
    </w:p>
    <w:p w14:paraId="6E640ACF" w14:textId="77777777" w:rsidR="00B0538F" w:rsidRPr="00855C86" w:rsidRDefault="00B0538F" w:rsidP="00372961">
      <w:pPr>
        <w:rPr>
          <w:lang w:val="en-GB"/>
        </w:rPr>
      </w:pPr>
    </w:p>
    <w:p w14:paraId="77F71F69" w14:textId="77777777" w:rsidR="00486A30" w:rsidRPr="00855C86" w:rsidRDefault="00486A30" w:rsidP="00372961">
      <w:pPr>
        <w:rPr>
          <w:lang w:val="en-GB"/>
        </w:rPr>
      </w:pPr>
    </w:p>
    <w:p w14:paraId="51E640FE" w14:textId="77777777" w:rsidR="009F5810" w:rsidRPr="00855C86" w:rsidRDefault="009F5810" w:rsidP="00372961">
      <w:pPr>
        <w:rPr>
          <w:lang w:val="en-GB"/>
        </w:rPr>
      </w:pPr>
    </w:p>
    <w:sectPr w:rsidR="009F5810" w:rsidRPr="00855C86" w:rsidSect="00C252E4">
      <w:headerReference w:type="even" r:id="rId11"/>
      <w:headerReference w:type="default" r:id="rId12"/>
      <w:footerReference w:type="even" r:id="rId13"/>
      <w:footerReference w:type="default" r:id="rId14"/>
      <w:headerReference w:type="first" r:id="rId15"/>
      <w:footerReference w:type="first" r:id="rId16"/>
      <w:pgSz w:w="11900" w:h="16840"/>
      <w:pgMar w:top="1134" w:right="985"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E6AE" w14:textId="77777777" w:rsidR="00543508" w:rsidRDefault="00543508" w:rsidP="0029727B">
      <w:r>
        <w:separator/>
      </w:r>
    </w:p>
  </w:endnote>
  <w:endnote w:type="continuationSeparator" w:id="0">
    <w:p w14:paraId="1B3EC12A" w14:textId="77777777" w:rsidR="00543508" w:rsidRDefault="00543508" w:rsidP="0029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F5DB" w14:textId="77777777" w:rsidR="00E04959" w:rsidRDefault="00E04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A012" w14:textId="16F08129" w:rsidR="00B45DDC" w:rsidRPr="003C4AD5" w:rsidRDefault="00B45DDC" w:rsidP="00E273E4">
    <w:pPr>
      <w:pStyle w:val="Footer"/>
      <w:jc w:val="right"/>
      <w:rPr>
        <w:rFonts w:ascii="Cambria" w:hAnsi="Cambria" w:cs="Times New Roman"/>
        <w:sz w:val="16"/>
        <w:szCs w:val="16"/>
      </w:rPr>
    </w:pPr>
    <w:r w:rsidRPr="003C4AD5">
      <w:rPr>
        <w:rFonts w:ascii="Cambria" w:hAnsi="Cambria" w:cs="Times New Roman"/>
        <w:sz w:val="16"/>
        <w:szCs w:val="16"/>
      </w:rPr>
      <w:fldChar w:fldCharType="begin"/>
    </w:r>
    <w:r w:rsidRPr="003C4AD5">
      <w:rPr>
        <w:rFonts w:ascii="Cambria" w:hAnsi="Cambria" w:cs="Times New Roman"/>
        <w:sz w:val="16"/>
        <w:szCs w:val="16"/>
      </w:rPr>
      <w:instrText xml:space="preserve"> PAGE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r w:rsidRPr="003C4AD5">
      <w:rPr>
        <w:rFonts w:ascii="Cambria" w:hAnsi="Cambria" w:cs="Times New Roman"/>
        <w:sz w:val="16"/>
        <w:szCs w:val="16"/>
      </w:rPr>
      <w:t xml:space="preserve"> / </w:t>
    </w:r>
    <w:r w:rsidRPr="003C4AD5">
      <w:rPr>
        <w:rFonts w:ascii="Cambria" w:hAnsi="Cambria" w:cs="Times New Roman"/>
        <w:sz w:val="16"/>
        <w:szCs w:val="16"/>
      </w:rPr>
      <w:fldChar w:fldCharType="begin"/>
    </w:r>
    <w:r w:rsidRPr="003C4AD5">
      <w:rPr>
        <w:rFonts w:ascii="Cambria" w:hAnsi="Cambria" w:cs="Times New Roman"/>
        <w:sz w:val="16"/>
        <w:szCs w:val="16"/>
      </w:rPr>
      <w:instrText xml:space="preserve"> NUMPAGES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p>
  <w:p w14:paraId="2397B3E0" w14:textId="77777777" w:rsidR="00B45DDC" w:rsidRPr="003C4AD5" w:rsidRDefault="00B45DDC" w:rsidP="00E273E4">
    <w:pPr>
      <w:pStyle w:val="Footer"/>
      <w:jc w:val="right"/>
      <w:rPr>
        <w:rFonts w:ascii="Cambria" w:hAnsi="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6C93" w14:textId="77777777" w:rsidR="00B45DDC" w:rsidRPr="00B01F31" w:rsidRDefault="00B45DDC" w:rsidP="007C26F4">
    <w:pPr>
      <w:pStyle w:val="Footer"/>
      <w:jc w:val="center"/>
      <w:rPr>
        <w:rFonts w:ascii="Times New Roman" w:hAnsi="Times New Roman" w:cs="Times New Roman"/>
        <w:i/>
        <w:sz w:val="16"/>
        <w:szCs w:val="16"/>
        <w:lang w:val="it-IT"/>
      </w:rPr>
    </w:pPr>
    <w:r w:rsidRPr="00B01F31">
      <w:rPr>
        <w:rFonts w:ascii="Times New Roman" w:hAnsi="Times New Roman" w:cs="Times New Roman"/>
        <w:sz w:val="16"/>
        <w:szCs w:val="16"/>
        <w:lang w:val="it-IT"/>
      </w:rPr>
      <w:t xml:space="preserve">Secrétariat permanent de l’Accord Pelagos / </w:t>
    </w:r>
    <w:r w:rsidRPr="00B01F31">
      <w:rPr>
        <w:rFonts w:ascii="Times New Roman" w:hAnsi="Times New Roman" w:cs="Times New Roman"/>
        <w:i/>
        <w:sz w:val="16"/>
        <w:szCs w:val="16"/>
        <w:lang w:val="it-IT"/>
      </w:rPr>
      <w:t>Segretariato permanente dell’Accordo Pelagos</w:t>
    </w:r>
  </w:p>
  <w:p w14:paraId="1C3939DE" w14:textId="278ED8BD" w:rsidR="00B45DDC" w:rsidRPr="00084C82" w:rsidRDefault="00B45DDC" w:rsidP="007C26F4">
    <w:pPr>
      <w:pStyle w:val="Footer"/>
      <w:jc w:val="center"/>
      <w:rPr>
        <w:rFonts w:ascii="Times New Roman" w:hAnsi="Times New Roman" w:cs="Times New Roman"/>
        <w:sz w:val="16"/>
        <w:szCs w:val="16"/>
      </w:rPr>
    </w:pPr>
    <w:r>
      <w:rPr>
        <w:rFonts w:ascii="Times New Roman" w:hAnsi="Times New Roman" w:cs="Times New Roman"/>
        <w:sz w:val="16"/>
        <w:szCs w:val="16"/>
      </w:rPr>
      <w:t>Tour Odéon B1 – 36, avenue de l’Annonciade – MC-98000 Monac</w:t>
    </w:r>
    <w:r w:rsidR="005D05A5">
      <w:rPr>
        <w:rFonts w:ascii="Times New Roman" w:hAnsi="Times New Roman" w:cs="Times New Roman"/>
        <w:sz w:val="16"/>
        <w:szCs w:val="16"/>
      </w:rPr>
      <w:t>o</w:t>
    </w:r>
  </w:p>
  <w:p w14:paraId="6D79E357" w14:textId="2627A93D" w:rsidR="00B45DDC" w:rsidRPr="00967F47" w:rsidRDefault="00B45DDC" w:rsidP="007C26F4">
    <w:pPr>
      <w:pStyle w:val="Footer"/>
      <w:jc w:val="center"/>
      <w:rPr>
        <w:rFonts w:ascii="Times New Roman" w:hAnsi="Times New Roman" w:cs="Times New Roman"/>
        <w:sz w:val="16"/>
        <w:szCs w:val="16"/>
        <w:lang w:val="en-US"/>
      </w:rPr>
    </w:pPr>
    <w:r w:rsidRPr="00967F47">
      <w:rPr>
        <w:rFonts w:ascii="Times New Roman" w:hAnsi="Times New Roman" w:cs="Times New Roman"/>
        <w:sz w:val="16"/>
        <w:szCs w:val="16"/>
        <w:lang w:val="en-US"/>
      </w:rPr>
      <w:t xml:space="preserve">Tel: +377 92 16 11 55 – Email: </w:t>
    </w:r>
    <w:hyperlink r:id="rId1" w:history="1">
      <w:r w:rsidR="00F47472" w:rsidRPr="00AD2AA5">
        <w:rPr>
          <w:rStyle w:val="Hyperlink"/>
          <w:rFonts w:ascii="Times New Roman" w:hAnsi="Times New Roman" w:cs="Times New Roman"/>
          <w:sz w:val="16"/>
          <w:szCs w:val="16"/>
          <w:lang w:val="en-US"/>
        </w:rPr>
        <w:t>secretariat@pelagossanctuary.org</w:t>
      </w:r>
    </w:hyperlink>
    <w:r w:rsidRPr="00967F47">
      <w:rPr>
        <w:rFonts w:ascii="Times New Roman" w:hAnsi="Times New Roman" w:cs="Times New Roman"/>
        <w:sz w:val="16"/>
        <w:szCs w:val="16"/>
        <w:lang w:val="en-US"/>
      </w:rPr>
      <w:t xml:space="preserve"> - Web: </w:t>
    </w:r>
    <w:hyperlink r:id="rId2" w:history="1">
      <w:r w:rsidRPr="00967F47">
        <w:rPr>
          <w:rStyle w:val="Hyperlink"/>
          <w:rFonts w:ascii="Times New Roman" w:hAnsi="Times New Roman" w:cs="Times New Roman"/>
          <w:sz w:val="16"/>
          <w:szCs w:val="16"/>
          <w:lang w:val="en-US"/>
        </w:rPr>
        <w:t>www.pelagos-sanctuary.org</w:t>
      </w:r>
    </w:hyperlink>
    <w:r w:rsidRPr="00967F47">
      <w:rPr>
        <w:rFonts w:ascii="Times New Roman" w:hAnsi="Times New Roman" w:cs="Times New Roman"/>
        <w:sz w:val="16"/>
        <w:szCs w:val="16"/>
        <w:lang w:val="en-US"/>
      </w:rPr>
      <w:t xml:space="preserve"> </w:t>
    </w:r>
  </w:p>
  <w:p w14:paraId="541E7E45" w14:textId="77777777" w:rsidR="00B45DDC" w:rsidRPr="00967F47" w:rsidRDefault="00B45DDC" w:rsidP="007C26F4">
    <w:pPr>
      <w:pStyle w:val="Footer"/>
      <w:jc w:val="center"/>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7DDB" w14:textId="77777777" w:rsidR="00543508" w:rsidRDefault="00543508" w:rsidP="0029727B">
      <w:r>
        <w:separator/>
      </w:r>
    </w:p>
  </w:footnote>
  <w:footnote w:type="continuationSeparator" w:id="0">
    <w:p w14:paraId="7383FA24" w14:textId="77777777" w:rsidR="00543508" w:rsidRDefault="00543508" w:rsidP="0029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727B" w14:textId="77777777" w:rsidR="00E04959" w:rsidRDefault="00E04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6B3" w14:textId="344EC801" w:rsidR="00B45DDC" w:rsidRPr="003C4AD5" w:rsidRDefault="00B45DDC" w:rsidP="007B48DD">
    <w:pPr>
      <w:pStyle w:val="Header"/>
      <w:jc w:val="right"/>
      <w:rPr>
        <w:rFonts w:ascii="Times New Roman" w:hAnsi="Times New Roman" w:cs="Times New Roman"/>
        <w:i/>
        <w:sz w:val="16"/>
        <w:szCs w:val="16"/>
      </w:rPr>
    </w:pPr>
  </w:p>
  <w:p w14:paraId="34A9AFC2" w14:textId="0C268D6B" w:rsidR="00B45DDC" w:rsidRPr="00A10FEE" w:rsidRDefault="00A813E9" w:rsidP="00A813E9">
    <w:pPr>
      <w:pStyle w:val="Header"/>
      <w:jc w:val="right"/>
      <w:rPr>
        <w:rFonts w:ascii="Times New Roman" w:hAnsi="Times New Roman" w:cs="Times New Roman"/>
        <w:i/>
        <w:sz w:val="18"/>
        <w:szCs w:val="18"/>
        <w:lang w:val="en-US"/>
      </w:rPr>
    </w:pPr>
    <w:r w:rsidRPr="00A813E9">
      <w:rPr>
        <w:rFonts w:ascii="Times New Roman" w:hAnsi="Times New Roman" w:cs="Times New Roman"/>
        <w:i/>
        <w:sz w:val="18"/>
        <w:szCs w:val="18"/>
        <w:lang w:val="it-IT"/>
      </w:rPr>
      <w:t>Pelagos_CST</w:t>
    </w:r>
    <w:r w:rsidR="00C21C30">
      <w:rPr>
        <w:rFonts w:ascii="Times New Roman" w:hAnsi="Times New Roman" w:cs="Times New Roman"/>
        <w:i/>
        <w:sz w:val="18"/>
        <w:szCs w:val="18"/>
        <w:lang w:val="it-IT"/>
      </w:rPr>
      <w:t>1</w:t>
    </w:r>
    <w:r w:rsidR="005A5E00">
      <w:rPr>
        <w:rFonts w:ascii="Times New Roman" w:hAnsi="Times New Roman" w:cs="Times New Roman"/>
        <w:i/>
        <w:sz w:val="18"/>
        <w:szCs w:val="18"/>
        <w:lang w:val="it-IT"/>
      </w:rPr>
      <w:t>8</w:t>
    </w:r>
    <w:r w:rsidRPr="00A813E9">
      <w:rPr>
        <w:rFonts w:ascii="Times New Roman" w:hAnsi="Times New Roman" w:cs="Times New Roman"/>
        <w:i/>
        <w:sz w:val="18"/>
        <w:szCs w:val="18"/>
        <w:lang w:val="it-IT"/>
      </w:rPr>
      <w:t>_Doc</w:t>
    </w:r>
    <w:r w:rsidR="00610596">
      <w:rPr>
        <w:rFonts w:ascii="Times New Roman" w:hAnsi="Times New Roman" w:cs="Times New Roman"/>
        <w:i/>
        <w:sz w:val="18"/>
        <w:szCs w:val="18"/>
        <w:lang w:val="it-IT"/>
      </w:rPr>
      <w:t>0</w:t>
    </w:r>
    <w:r w:rsidR="00E04959">
      <w:rPr>
        <w:rFonts w:ascii="Times New Roman" w:hAnsi="Times New Roman" w:cs="Times New Roman"/>
        <w:i/>
        <w:sz w:val="18"/>
        <w:szCs w:val="18"/>
        <w:lang w:val="it-IT"/>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3827"/>
    </w:tblGrid>
    <w:tr w:rsidR="00B01F31" w:rsidRPr="00E655A4" w14:paraId="00BF9AA3" w14:textId="77777777" w:rsidTr="00A02F0F">
      <w:tc>
        <w:tcPr>
          <w:tcW w:w="3686" w:type="dxa"/>
        </w:tcPr>
        <w:p w14:paraId="108340D8" w14:textId="755B6B6A" w:rsidR="00B01F31" w:rsidRPr="008D39A9" w:rsidRDefault="00B01F31" w:rsidP="00B01F31">
          <w:pPr>
            <w:tabs>
              <w:tab w:val="left" w:pos="6379"/>
              <w:tab w:val="left" w:pos="11340"/>
            </w:tabs>
            <w:jc w:val="both"/>
            <w:rPr>
              <w:noProof/>
              <w:sz w:val="16"/>
              <w:szCs w:val="16"/>
            </w:rPr>
          </w:pPr>
          <w:r w:rsidRPr="008D39A9">
            <w:rPr>
              <w:noProof/>
              <w:sz w:val="16"/>
              <w:szCs w:val="16"/>
            </w:rPr>
            <w:t>Accord Pelagos</w:t>
          </w:r>
        </w:p>
        <w:p w14:paraId="165B5E89" w14:textId="77777777" w:rsidR="00B01F31" w:rsidRPr="008D39A9" w:rsidRDefault="00B01F31" w:rsidP="00B01F31">
          <w:pPr>
            <w:tabs>
              <w:tab w:val="left" w:pos="6379"/>
              <w:tab w:val="left" w:pos="11340"/>
            </w:tabs>
            <w:jc w:val="both"/>
            <w:rPr>
              <w:noProof/>
              <w:sz w:val="16"/>
              <w:szCs w:val="16"/>
            </w:rPr>
          </w:pPr>
          <w:r w:rsidRPr="008D39A9">
            <w:rPr>
              <w:noProof/>
              <w:sz w:val="16"/>
              <w:szCs w:val="16"/>
            </w:rPr>
            <w:t>relatif à la création en Méditerranée</w:t>
          </w:r>
        </w:p>
        <w:p w14:paraId="4A466CDC" w14:textId="77777777" w:rsidR="00B01F31" w:rsidRPr="008D39A9" w:rsidRDefault="00B01F31" w:rsidP="00B01F31">
          <w:pPr>
            <w:tabs>
              <w:tab w:val="left" w:pos="6379"/>
              <w:tab w:val="left" w:pos="11340"/>
            </w:tabs>
            <w:jc w:val="both"/>
            <w:rPr>
              <w:noProof/>
              <w:sz w:val="16"/>
              <w:szCs w:val="16"/>
            </w:rPr>
          </w:pPr>
          <w:r w:rsidRPr="008D39A9">
            <w:rPr>
              <w:noProof/>
              <w:sz w:val="16"/>
              <w:szCs w:val="16"/>
            </w:rPr>
            <w:t>d’un Sanctuaire pour les mammifères marins</w:t>
          </w:r>
        </w:p>
        <w:p w14:paraId="0ACB0B84" w14:textId="77777777" w:rsidR="00B01F31" w:rsidRDefault="00B01F31" w:rsidP="00B01F31">
          <w:pPr>
            <w:tabs>
              <w:tab w:val="left" w:pos="6379"/>
              <w:tab w:val="left" w:pos="11340"/>
            </w:tabs>
            <w:jc w:val="both"/>
            <w:rPr>
              <w:noProof/>
              <w:sz w:val="16"/>
              <w:szCs w:val="16"/>
            </w:rPr>
          </w:pPr>
        </w:p>
        <w:p w14:paraId="2A858765" w14:textId="3AD2162C" w:rsidR="00B01F31" w:rsidRDefault="00B01F31" w:rsidP="00B01F31">
          <w:pPr>
            <w:tabs>
              <w:tab w:val="left" w:pos="6379"/>
              <w:tab w:val="left" w:pos="11340"/>
            </w:tabs>
            <w:jc w:val="both"/>
            <w:rPr>
              <w:noProof/>
              <w:sz w:val="16"/>
              <w:szCs w:val="16"/>
            </w:rPr>
          </w:pPr>
          <w:r>
            <w:rPr>
              <w:noProof/>
              <w:sz w:val="16"/>
              <w:szCs w:val="16"/>
            </w:rPr>
            <w:t>1</w:t>
          </w:r>
          <w:r w:rsidR="00296C3A">
            <w:rPr>
              <w:noProof/>
              <w:sz w:val="16"/>
              <w:szCs w:val="16"/>
            </w:rPr>
            <w:t>8</w:t>
          </w:r>
          <w:r w:rsidRPr="00A0229B">
            <w:rPr>
              <w:noProof/>
              <w:sz w:val="16"/>
              <w:szCs w:val="16"/>
              <w:vertAlign w:val="superscript"/>
            </w:rPr>
            <w:t>ème</w:t>
          </w:r>
          <w:r>
            <w:rPr>
              <w:noProof/>
              <w:sz w:val="16"/>
              <w:szCs w:val="16"/>
            </w:rPr>
            <w:t xml:space="preserve"> Comité Scientifique et Technique </w:t>
          </w:r>
        </w:p>
        <w:p w14:paraId="5FA7E942" w14:textId="04A68D82" w:rsidR="00B01F31" w:rsidRPr="003E5DDD" w:rsidRDefault="00A43573" w:rsidP="00B01F31">
          <w:pPr>
            <w:tabs>
              <w:tab w:val="left" w:pos="6379"/>
              <w:tab w:val="left" w:pos="11340"/>
            </w:tabs>
            <w:jc w:val="both"/>
            <w:rPr>
              <w:sz w:val="16"/>
              <w:szCs w:val="16"/>
            </w:rPr>
          </w:pPr>
          <w:r>
            <w:rPr>
              <w:noProof/>
              <w:sz w:val="16"/>
              <w:szCs w:val="16"/>
            </w:rPr>
            <w:t>9 juin</w:t>
          </w:r>
          <w:r w:rsidR="00B01F31">
            <w:rPr>
              <w:noProof/>
              <w:sz w:val="16"/>
              <w:szCs w:val="16"/>
            </w:rPr>
            <w:t xml:space="preserve"> 202</w:t>
          </w:r>
          <w:r w:rsidR="00296C3A">
            <w:rPr>
              <w:noProof/>
              <w:sz w:val="16"/>
              <w:szCs w:val="16"/>
            </w:rPr>
            <w:t>6</w:t>
          </w:r>
        </w:p>
      </w:tc>
      <w:tc>
        <w:tcPr>
          <w:tcW w:w="2410" w:type="dxa"/>
        </w:tcPr>
        <w:p w14:paraId="47AC7253" w14:textId="77777777" w:rsidR="00B01F31" w:rsidRPr="003E5DDD" w:rsidRDefault="00B01F31" w:rsidP="00B01F31">
          <w:pPr>
            <w:tabs>
              <w:tab w:val="left" w:pos="6379"/>
              <w:tab w:val="left" w:pos="11340"/>
            </w:tabs>
            <w:ind w:right="-250"/>
            <w:jc w:val="both"/>
            <w:rPr>
              <w:sz w:val="16"/>
              <w:szCs w:val="16"/>
            </w:rPr>
          </w:pPr>
          <w:r w:rsidRPr="00084C82">
            <w:rPr>
              <w:noProof/>
              <w:sz w:val="28"/>
              <w:lang w:val="it-IT" w:eastAsia="it-IT"/>
            </w:rPr>
            <w:drawing>
              <wp:anchor distT="0" distB="0" distL="114300" distR="114300" simplePos="0" relativeHeight="251658240" behindDoc="0" locked="0" layoutInCell="1" allowOverlap="1" wp14:anchorId="519C1204" wp14:editId="6B6C0323">
                <wp:simplePos x="0" y="0"/>
                <wp:positionH relativeFrom="column">
                  <wp:posOffset>435610</wp:posOffset>
                </wp:positionH>
                <wp:positionV relativeFrom="paragraph">
                  <wp:posOffset>0</wp:posOffset>
                </wp:positionV>
                <wp:extent cx="800735" cy="1163955"/>
                <wp:effectExtent l="0" t="0" r="0" b="0"/>
                <wp:wrapThrough wrapText="bothSides">
                  <wp:wrapPolygon edited="0">
                    <wp:start x="0" y="0"/>
                    <wp:lineTo x="0" y="21211"/>
                    <wp:lineTo x="21069" y="21211"/>
                    <wp:lineTo x="21069" y="0"/>
                    <wp:lineTo x="0" y="0"/>
                  </wp:wrapPolygon>
                </wp:wrapThrough>
                <wp:docPr id="2110919361" name="Image 2110919361" descr="Description : Logo Pelagos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 Pelagos 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1163955"/>
                        </a:xfrm>
                        <a:prstGeom prst="rect">
                          <a:avLst/>
                        </a:prstGeom>
                        <a:noFill/>
                      </pic:spPr>
                    </pic:pic>
                  </a:graphicData>
                </a:graphic>
              </wp:anchor>
            </w:drawing>
          </w:r>
        </w:p>
      </w:tc>
      <w:tc>
        <w:tcPr>
          <w:tcW w:w="3827" w:type="dxa"/>
        </w:tcPr>
        <w:p w14:paraId="3DAAC2D4" w14:textId="77777777" w:rsidR="00B01F31" w:rsidRPr="006A333B" w:rsidRDefault="00B01F31" w:rsidP="00B01F31">
          <w:pPr>
            <w:tabs>
              <w:tab w:val="left" w:pos="6379"/>
              <w:tab w:val="left" w:pos="11340"/>
            </w:tabs>
            <w:jc w:val="right"/>
            <w:rPr>
              <w:noProof/>
              <w:sz w:val="16"/>
              <w:szCs w:val="16"/>
              <w:lang w:val="it-IT"/>
            </w:rPr>
          </w:pPr>
          <w:r w:rsidRPr="006F206A">
            <w:rPr>
              <w:noProof/>
              <w:sz w:val="16"/>
              <w:szCs w:val="16"/>
            </w:rPr>
            <w:t xml:space="preserve">                                       </w:t>
          </w:r>
          <w:r w:rsidRPr="006A333B">
            <w:rPr>
              <w:noProof/>
              <w:sz w:val="16"/>
              <w:szCs w:val="16"/>
              <w:lang w:val="it-IT"/>
            </w:rPr>
            <w:t>Accordo Pelagos</w:t>
          </w:r>
        </w:p>
        <w:p w14:paraId="5B010F56"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 xml:space="preserve">  relativo alla creazione nel Mediterraneo</w:t>
          </w:r>
        </w:p>
        <w:p w14:paraId="52B64BA7"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di un</w:t>
          </w:r>
          <w:r>
            <w:rPr>
              <w:noProof/>
              <w:sz w:val="16"/>
              <w:szCs w:val="16"/>
              <w:lang w:val="it-IT"/>
            </w:rPr>
            <w:t xml:space="preserve"> Santuario per i mammiferi </w:t>
          </w:r>
          <w:r w:rsidRPr="006A333B">
            <w:rPr>
              <w:noProof/>
              <w:sz w:val="16"/>
              <w:szCs w:val="16"/>
              <w:lang w:val="it-IT"/>
            </w:rPr>
            <w:t>marini</w:t>
          </w:r>
        </w:p>
        <w:p w14:paraId="368137B6" w14:textId="77777777" w:rsidR="00B01F31" w:rsidRDefault="00B01F31" w:rsidP="00B01F31">
          <w:pPr>
            <w:pStyle w:val="Header"/>
            <w:jc w:val="right"/>
            <w:rPr>
              <w:noProof/>
              <w:sz w:val="16"/>
              <w:szCs w:val="16"/>
              <w:lang w:val="it-IT"/>
            </w:rPr>
          </w:pPr>
        </w:p>
        <w:p w14:paraId="16430621" w14:textId="08BD919C" w:rsidR="00B01F31" w:rsidRPr="003E5DDD" w:rsidRDefault="00B01F31" w:rsidP="00B01F31">
          <w:pPr>
            <w:pStyle w:val="Header"/>
            <w:jc w:val="right"/>
            <w:rPr>
              <w:noProof/>
              <w:sz w:val="16"/>
              <w:szCs w:val="16"/>
              <w:lang w:val="it-IT"/>
            </w:rPr>
          </w:pPr>
          <w:r w:rsidRPr="003E5DDD">
            <w:rPr>
              <w:noProof/>
              <w:sz w:val="16"/>
              <w:szCs w:val="16"/>
              <w:lang w:val="it-IT"/>
            </w:rPr>
            <w:t>X</w:t>
          </w:r>
          <w:r>
            <w:rPr>
              <w:noProof/>
              <w:sz w:val="16"/>
              <w:szCs w:val="16"/>
              <w:lang w:val="it-IT"/>
            </w:rPr>
            <w:t>VI</w:t>
          </w:r>
          <w:r w:rsidR="00296C3A">
            <w:rPr>
              <w:noProof/>
              <w:sz w:val="16"/>
              <w:szCs w:val="16"/>
              <w:lang w:val="it-IT"/>
            </w:rPr>
            <w:t>II</w:t>
          </w:r>
          <w:r w:rsidRPr="003E5DDD">
            <w:rPr>
              <w:noProof/>
              <w:sz w:val="16"/>
              <w:szCs w:val="16"/>
              <w:lang w:val="it-IT"/>
            </w:rPr>
            <w:t xml:space="preserve"> </w:t>
          </w:r>
          <w:r>
            <w:rPr>
              <w:noProof/>
              <w:sz w:val="16"/>
              <w:szCs w:val="16"/>
              <w:lang w:val="it-IT"/>
            </w:rPr>
            <w:t>Comitato Scientifico e Tecnico</w:t>
          </w:r>
        </w:p>
        <w:p w14:paraId="244EDEA1" w14:textId="509B9E19" w:rsidR="00B01F31" w:rsidRPr="003E5DDD" w:rsidRDefault="00B01F31" w:rsidP="00B01F31">
          <w:pPr>
            <w:pStyle w:val="Header"/>
            <w:jc w:val="right"/>
            <w:rPr>
              <w:noProof/>
              <w:sz w:val="16"/>
              <w:szCs w:val="16"/>
              <w:lang w:val="it-IT"/>
            </w:rPr>
          </w:pPr>
          <w:r w:rsidRPr="003E5DDD">
            <w:rPr>
              <w:noProof/>
              <w:sz w:val="16"/>
              <w:szCs w:val="16"/>
              <w:lang w:val="it-IT"/>
            </w:rPr>
            <w:t xml:space="preserve"> </w:t>
          </w:r>
          <w:r w:rsidR="00A43573">
            <w:rPr>
              <w:noProof/>
              <w:sz w:val="16"/>
              <w:szCs w:val="16"/>
              <w:lang w:val="it-IT"/>
            </w:rPr>
            <w:t>9 giugno</w:t>
          </w:r>
          <w:r>
            <w:rPr>
              <w:noProof/>
              <w:sz w:val="16"/>
              <w:szCs w:val="16"/>
              <w:lang w:val="it-IT"/>
            </w:rPr>
            <w:t xml:space="preserve"> 202</w:t>
          </w:r>
          <w:r w:rsidR="00296C3A">
            <w:rPr>
              <w:noProof/>
              <w:sz w:val="16"/>
              <w:szCs w:val="16"/>
              <w:lang w:val="it-IT"/>
            </w:rPr>
            <w:t>6</w:t>
          </w:r>
        </w:p>
      </w:tc>
    </w:tr>
  </w:tbl>
  <w:p w14:paraId="265F184D" w14:textId="77777777" w:rsidR="00B45DDC" w:rsidRPr="00B01F31" w:rsidRDefault="00B45DDC">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8C"/>
    <w:multiLevelType w:val="multilevel"/>
    <w:tmpl w:val="59B27F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9641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2194D"/>
    <w:multiLevelType w:val="multilevel"/>
    <w:tmpl w:val="7034E7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A004A0"/>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CA373D"/>
    <w:multiLevelType w:val="multilevel"/>
    <w:tmpl w:val="4CB067D8"/>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05786D"/>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86E8C"/>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AC5A99"/>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3101B9"/>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FB41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6C35C3"/>
    <w:multiLevelType w:val="hybridMultilevel"/>
    <w:tmpl w:val="52AE7526"/>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A05676"/>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EE0D96"/>
    <w:multiLevelType w:val="hybridMultilevel"/>
    <w:tmpl w:val="FB26896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E332C7"/>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5F0A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E0251A"/>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813544"/>
    <w:multiLevelType w:val="multilevel"/>
    <w:tmpl w:val="4F54A01A"/>
    <w:lvl w:ilvl="0">
      <w:start w:val="9"/>
      <w:numFmt w:val="decimal"/>
      <w:lvlText w:val="%1.0"/>
      <w:lvlJc w:val="left"/>
      <w:pPr>
        <w:ind w:left="360" w:hanging="360"/>
      </w:pPr>
      <w:rPr>
        <w:rFonts w:hint="default"/>
        <w:i/>
        <w:sz w:val="16"/>
      </w:rPr>
    </w:lvl>
    <w:lvl w:ilvl="1">
      <w:start w:val="1"/>
      <w:numFmt w:val="decimalZero"/>
      <w:lvlText w:val="%1.%2"/>
      <w:lvlJc w:val="left"/>
      <w:pPr>
        <w:ind w:left="1068" w:hanging="360"/>
      </w:pPr>
      <w:rPr>
        <w:rFonts w:hint="default"/>
        <w:i/>
        <w:sz w:val="16"/>
      </w:rPr>
    </w:lvl>
    <w:lvl w:ilvl="2">
      <w:start w:val="1"/>
      <w:numFmt w:val="decimal"/>
      <w:lvlText w:val="%1.%2.%3"/>
      <w:lvlJc w:val="left"/>
      <w:pPr>
        <w:ind w:left="2136" w:hanging="720"/>
      </w:pPr>
      <w:rPr>
        <w:rFonts w:hint="default"/>
        <w:i/>
        <w:sz w:val="16"/>
      </w:rPr>
    </w:lvl>
    <w:lvl w:ilvl="3">
      <w:start w:val="1"/>
      <w:numFmt w:val="decimal"/>
      <w:lvlText w:val="%1.%2.%3.%4"/>
      <w:lvlJc w:val="left"/>
      <w:pPr>
        <w:ind w:left="3204" w:hanging="1080"/>
      </w:pPr>
      <w:rPr>
        <w:rFonts w:hint="default"/>
        <w:i/>
        <w:sz w:val="16"/>
      </w:rPr>
    </w:lvl>
    <w:lvl w:ilvl="4">
      <w:start w:val="1"/>
      <w:numFmt w:val="decimal"/>
      <w:lvlText w:val="%1.%2.%3.%4.%5"/>
      <w:lvlJc w:val="left"/>
      <w:pPr>
        <w:ind w:left="3912" w:hanging="1080"/>
      </w:pPr>
      <w:rPr>
        <w:rFonts w:hint="default"/>
        <w:i/>
        <w:sz w:val="16"/>
      </w:rPr>
    </w:lvl>
    <w:lvl w:ilvl="5">
      <w:start w:val="1"/>
      <w:numFmt w:val="decimal"/>
      <w:lvlText w:val="%1.%2.%3.%4.%5.%6"/>
      <w:lvlJc w:val="left"/>
      <w:pPr>
        <w:ind w:left="4980" w:hanging="1440"/>
      </w:pPr>
      <w:rPr>
        <w:rFonts w:hint="default"/>
        <w:i/>
        <w:sz w:val="16"/>
      </w:rPr>
    </w:lvl>
    <w:lvl w:ilvl="6">
      <w:start w:val="1"/>
      <w:numFmt w:val="decimal"/>
      <w:lvlText w:val="%1.%2.%3.%4.%5.%6.%7"/>
      <w:lvlJc w:val="left"/>
      <w:pPr>
        <w:ind w:left="5688" w:hanging="1440"/>
      </w:pPr>
      <w:rPr>
        <w:rFonts w:hint="default"/>
        <w:i/>
        <w:sz w:val="16"/>
      </w:rPr>
    </w:lvl>
    <w:lvl w:ilvl="7">
      <w:start w:val="1"/>
      <w:numFmt w:val="decimal"/>
      <w:lvlText w:val="%1.%2.%3.%4.%5.%6.%7.%8"/>
      <w:lvlJc w:val="left"/>
      <w:pPr>
        <w:ind w:left="6756" w:hanging="1800"/>
      </w:pPr>
      <w:rPr>
        <w:rFonts w:hint="default"/>
        <w:i/>
        <w:sz w:val="16"/>
      </w:rPr>
    </w:lvl>
    <w:lvl w:ilvl="8">
      <w:start w:val="1"/>
      <w:numFmt w:val="decimal"/>
      <w:lvlText w:val="%1.%2.%3.%4.%5.%6.%7.%8.%9"/>
      <w:lvlJc w:val="left"/>
      <w:pPr>
        <w:ind w:left="7464" w:hanging="1800"/>
      </w:pPr>
      <w:rPr>
        <w:rFonts w:hint="default"/>
        <w:i/>
        <w:sz w:val="16"/>
      </w:rPr>
    </w:lvl>
  </w:abstractNum>
  <w:abstractNum w:abstractNumId="17" w15:restartNumberingAfterBreak="0">
    <w:nsid w:val="66993D0A"/>
    <w:multiLevelType w:val="multilevel"/>
    <w:tmpl w:val="F8962E9E"/>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7C75F0"/>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F12E71"/>
    <w:multiLevelType w:val="multilevel"/>
    <w:tmpl w:val="41E66F40"/>
    <w:lvl w:ilvl="0">
      <w:start w:val="1"/>
      <w:numFmt w:val="decimal"/>
      <w:lvlText w:val="%1."/>
      <w:lvlJc w:val="left"/>
      <w:pPr>
        <w:ind w:left="360" w:hanging="360"/>
      </w:pPr>
      <w:rPr>
        <w:rFonts w:hint="default"/>
        <w:b/>
        <w:bCs/>
        <w:i w:val="0"/>
        <w:iCs/>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9770E"/>
    <w:multiLevelType w:val="hybridMultilevel"/>
    <w:tmpl w:val="461C344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CE38A2"/>
    <w:multiLevelType w:val="hybridMultilevel"/>
    <w:tmpl w:val="35FEB6C4"/>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26059F"/>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22162"/>
    <w:multiLevelType w:val="hybridMultilevel"/>
    <w:tmpl w:val="F8F8F082"/>
    <w:lvl w:ilvl="0" w:tplc="609810E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199373">
    <w:abstractNumId w:val="11"/>
  </w:num>
  <w:num w:numId="2" w16cid:durableId="2119254352">
    <w:abstractNumId w:val="5"/>
  </w:num>
  <w:num w:numId="3" w16cid:durableId="616181067">
    <w:abstractNumId w:val="7"/>
  </w:num>
  <w:num w:numId="4" w16cid:durableId="321930308">
    <w:abstractNumId w:val="1"/>
  </w:num>
  <w:num w:numId="5" w16cid:durableId="1902790700">
    <w:abstractNumId w:val="0"/>
  </w:num>
  <w:num w:numId="6" w16cid:durableId="359669960">
    <w:abstractNumId w:val="9"/>
  </w:num>
  <w:num w:numId="7" w16cid:durableId="912815108">
    <w:abstractNumId w:val="14"/>
  </w:num>
  <w:num w:numId="8" w16cid:durableId="1965892552">
    <w:abstractNumId w:val="22"/>
  </w:num>
  <w:num w:numId="9" w16cid:durableId="678628591">
    <w:abstractNumId w:val="4"/>
  </w:num>
  <w:num w:numId="10" w16cid:durableId="472866833">
    <w:abstractNumId w:val="15"/>
  </w:num>
  <w:num w:numId="11" w16cid:durableId="1308241383">
    <w:abstractNumId w:val="2"/>
  </w:num>
  <w:num w:numId="12" w16cid:durableId="207298721">
    <w:abstractNumId w:val="6"/>
  </w:num>
  <w:num w:numId="13" w16cid:durableId="1395352722">
    <w:abstractNumId w:val="19"/>
  </w:num>
  <w:num w:numId="14" w16cid:durableId="1115901422">
    <w:abstractNumId w:val="18"/>
  </w:num>
  <w:num w:numId="15" w16cid:durableId="887181326">
    <w:abstractNumId w:val="23"/>
  </w:num>
  <w:num w:numId="16" w16cid:durableId="1178348674">
    <w:abstractNumId w:val="21"/>
  </w:num>
  <w:num w:numId="17" w16cid:durableId="1283922192">
    <w:abstractNumId w:val="10"/>
  </w:num>
  <w:num w:numId="18" w16cid:durableId="1975325932">
    <w:abstractNumId w:val="17"/>
  </w:num>
  <w:num w:numId="19" w16cid:durableId="178393633">
    <w:abstractNumId w:val="12"/>
  </w:num>
  <w:num w:numId="20" w16cid:durableId="1442917478">
    <w:abstractNumId w:val="20"/>
  </w:num>
  <w:num w:numId="21" w16cid:durableId="1143236321">
    <w:abstractNumId w:val="16"/>
  </w:num>
  <w:num w:numId="22" w16cid:durableId="3213440">
    <w:abstractNumId w:val="8"/>
  </w:num>
  <w:num w:numId="23" w16cid:durableId="992871127">
    <w:abstractNumId w:val="3"/>
  </w:num>
  <w:num w:numId="24" w16cid:durableId="8213129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A8"/>
    <w:rsid w:val="00002DDA"/>
    <w:rsid w:val="000121DE"/>
    <w:rsid w:val="00016000"/>
    <w:rsid w:val="000168C7"/>
    <w:rsid w:val="000202EE"/>
    <w:rsid w:val="00021262"/>
    <w:rsid w:val="000331B3"/>
    <w:rsid w:val="0003433B"/>
    <w:rsid w:val="00035BE5"/>
    <w:rsid w:val="00037579"/>
    <w:rsid w:val="000406EA"/>
    <w:rsid w:val="000434AE"/>
    <w:rsid w:val="000468C0"/>
    <w:rsid w:val="00047940"/>
    <w:rsid w:val="000561F4"/>
    <w:rsid w:val="00057ED9"/>
    <w:rsid w:val="000618E9"/>
    <w:rsid w:val="00063ADF"/>
    <w:rsid w:val="00065A2B"/>
    <w:rsid w:val="0007080A"/>
    <w:rsid w:val="00082FBD"/>
    <w:rsid w:val="00086FF3"/>
    <w:rsid w:val="000957EF"/>
    <w:rsid w:val="000A7D71"/>
    <w:rsid w:val="000B318A"/>
    <w:rsid w:val="000B441F"/>
    <w:rsid w:val="000B7F5C"/>
    <w:rsid w:val="000C4F4C"/>
    <w:rsid w:val="000C5E58"/>
    <w:rsid w:val="000C750C"/>
    <w:rsid w:val="000D1017"/>
    <w:rsid w:val="000D1BDE"/>
    <w:rsid w:val="000E0738"/>
    <w:rsid w:val="000F6F29"/>
    <w:rsid w:val="00112ADE"/>
    <w:rsid w:val="00114F53"/>
    <w:rsid w:val="00120C3E"/>
    <w:rsid w:val="00125073"/>
    <w:rsid w:val="001250B6"/>
    <w:rsid w:val="00127581"/>
    <w:rsid w:val="00131575"/>
    <w:rsid w:val="001315F7"/>
    <w:rsid w:val="001400A7"/>
    <w:rsid w:val="0014183B"/>
    <w:rsid w:val="001430A8"/>
    <w:rsid w:val="00151308"/>
    <w:rsid w:val="0015642A"/>
    <w:rsid w:val="0015799F"/>
    <w:rsid w:val="0017039D"/>
    <w:rsid w:val="001721B9"/>
    <w:rsid w:val="00183FD1"/>
    <w:rsid w:val="00185B31"/>
    <w:rsid w:val="0019190B"/>
    <w:rsid w:val="00192A23"/>
    <w:rsid w:val="00193DBB"/>
    <w:rsid w:val="001A30C5"/>
    <w:rsid w:val="001B39CD"/>
    <w:rsid w:val="001C5B04"/>
    <w:rsid w:val="001D50A2"/>
    <w:rsid w:val="001D603B"/>
    <w:rsid w:val="001F3331"/>
    <w:rsid w:val="001F6C26"/>
    <w:rsid w:val="00200422"/>
    <w:rsid w:val="002041F7"/>
    <w:rsid w:val="00220968"/>
    <w:rsid w:val="002228B7"/>
    <w:rsid w:val="002247DE"/>
    <w:rsid w:val="0023154F"/>
    <w:rsid w:val="00232E61"/>
    <w:rsid w:val="002358DA"/>
    <w:rsid w:val="0023759A"/>
    <w:rsid w:val="00240E06"/>
    <w:rsid w:val="002423CE"/>
    <w:rsid w:val="002473A8"/>
    <w:rsid w:val="00263D0B"/>
    <w:rsid w:val="00265AED"/>
    <w:rsid w:val="00272400"/>
    <w:rsid w:val="00276E62"/>
    <w:rsid w:val="00276F5B"/>
    <w:rsid w:val="002819CF"/>
    <w:rsid w:val="00293077"/>
    <w:rsid w:val="00296C3A"/>
    <w:rsid w:val="0029727B"/>
    <w:rsid w:val="002A346B"/>
    <w:rsid w:val="002A4F0D"/>
    <w:rsid w:val="002A621A"/>
    <w:rsid w:val="002B34A7"/>
    <w:rsid w:val="002D1C4F"/>
    <w:rsid w:val="002D5C1B"/>
    <w:rsid w:val="002F1F93"/>
    <w:rsid w:val="002F2102"/>
    <w:rsid w:val="002F2748"/>
    <w:rsid w:val="002F3DF1"/>
    <w:rsid w:val="00312CD3"/>
    <w:rsid w:val="003216A8"/>
    <w:rsid w:val="0032207D"/>
    <w:rsid w:val="0032780F"/>
    <w:rsid w:val="0033188E"/>
    <w:rsid w:val="00332196"/>
    <w:rsid w:val="00340197"/>
    <w:rsid w:val="00342481"/>
    <w:rsid w:val="00343F1A"/>
    <w:rsid w:val="00372961"/>
    <w:rsid w:val="003768B2"/>
    <w:rsid w:val="00393C02"/>
    <w:rsid w:val="003B0A65"/>
    <w:rsid w:val="003B1F95"/>
    <w:rsid w:val="003B4F9F"/>
    <w:rsid w:val="003B5753"/>
    <w:rsid w:val="003B7EB3"/>
    <w:rsid w:val="003C4AD5"/>
    <w:rsid w:val="003C5575"/>
    <w:rsid w:val="003F1820"/>
    <w:rsid w:val="003F64C6"/>
    <w:rsid w:val="004051BB"/>
    <w:rsid w:val="00413E9E"/>
    <w:rsid w:val="0043105B"/>
    <w:rsid w:val="004335B8"/>
    <w:rsid w:val="00436662"/>
    <w:rsid w:val="0043742E"/>
    <w:rsid w:val="00437A6D"/>
    <w:rsid w:val="0044572B"/>
    <w:rsid w:val="00446FC5"/>
    <w:rsid w:val="00456453"/>
    <w:rsid w:val="00456BF0"/>
    <w:rsid w:val="00463116"/>
    <w:rsid w:val="00466452"/>
    <w:rsid w:val="0046683D"/>
    <w:rsid w:val="00467D9E"/>
    <w:rsid w:val="00471509"/>
    <w:rsid w:val="0047175D"/>
    <w:rsid w:val="00481229"/>
    <w:rsid w:val="00486A30"/>
    <w:rsid w:val="004A0CA5"/>
    <w:rsid w:val="004A2B66"/>
    <w:rsid w:val="004B501B"/>
    <w:rsid w:val="004B70E6"/>
    <w:rsid w:val="004C2121"/>
    <w:rsid w:val="004C659D"/>
    <w:rsid w:val="004D5B9D"/>
    <w:rsid w:val="004E172A"/>
    <w:rsid w:val="004E3E2D"/>
    <w:rsid w:val="004E469B"/>
    <w:rsid w:val="004E718A"/>
    <w:rsid w:val="004F239D"/>
    <w:rsid w:val="00501D4B"/>
    <w:rsid w:val="005042F2"/>
    <w:rsid w:val="0050651B"/>
    <w:rsid w:val="00511938"/>
    <w:rsid w:val="005129FB"/>
    <w:rsid w:val="00512C61"/>
    <w:rsid w:val="00516134"/>
    <w:rsid w:val="0052255D"/>
    <w:rsid w:val="00531B4D"/>
    <w:rsid w:val="0053249F"/>
    <w:rsid w:val="00534D4E"/>
    <w:rsid w:val="005356C5"/>
    <w:rsid w:val="00536F59"/>
    <w:rsid w:val="00540940"/>
    <w:rsid w:val="00540F09"/>
    <w:rsid w:val="00543508"/>
    <w:rsid w:val="00543E8B"/>
    <w:rsid w:val="0054575E"/>
    <w:rsid w:val="00557557"/>
    <w:rsid w:val="00560E7C"/>
    <w:rsid w:val="00564A50"/>
    <w:rsid w:val="005659D0"/>
    <w:rsid w:val="00567488"/>
    <w:rsid w:val="00577CE2"/>
    <w:rsid w:val="00581130"/>
    <w:rsid w:val="00583EC2"/>
    <w:rsid w:val="00591199"/>
    <w:rsid w:val="00592E6A"/>
    <w:rsid w:val="005A1D43"/>
    <w:rsid w:val="005A5E00"/>
    <w:rsid w:val="005B114D"/>
    <w:rsid w:val="005B731D"/>
    <w:rsid w:val="005C2B33"/>
    <w:rsid w:val="005C4F2E"/>
    <w:rsid w:val="005D059F"/>
    <w:rsid w:val="005D05A5"/>
    <w:rsid w:val="005D378F"/>
    <w:rsid w:val="005D4CFC"/>
    <w:rsid w:val="005D6095"/>
    <w:rsid w:val="005E341E"/>
    <w:rsid w:val="005E5145"/>
    <w:rsid w:val="005F1BD0"/>
    <w:rsid w:val="005F2A21"/>
    <w:rsid w:val="005F396E"/>
    <w:rsid w:val="005F41DD"/>
    <w:rsid w:val="006006FB"/>
    <w:rsid w:val="006020ED"/>
    <w:rsid w:val="00604BB3"/>
    <w:rsid w:val="00606A6B"/>
    <w:rsid w:val="00610549"/>
    <w:rsid w:val="00610596"/>
    <w:rsid w:val="00621373"/>
    <w:rsid w:val="0062139B"/>
    <w:rsid w:val="00624BEC"/>
    <w:rsid w:val="006257B2"/>
    <w:rsid w:val="00627517"/>
    <w:rsid w:val="00630E49"/>
    <w:rsid w:val="006362D3"/>
    <w:rsid w:val="00641855"/>
    <w:rsid w:val="00641DEF"/>
    <w:rsid w:val="006432D9"/>
    <w:rsid w:val="006436D3"/>
    <w:rsid w:val="00643CF4"/>
    <w:rsid w:val="0065718A"/>
    <w:rsid w:val="006672C3"/>
    <w:rsid w:val="00670227"/>
    <w:rsid w:val="006767A1"/>
    <w:rsid w:val="006873FE"/>
    <w:rsid w:val="006971E7"/>
    <w:rsid w:val="006B1365"/>
    <w:rsid w:val="006B1FB4"/>
    <w:rsid w:val="006B44A5"/>
    <w:rsid w:val="006C36FA"/>
    <w:rsid w:val="006C653F"/>
    <w:rsid w:val="006C65A3"/>
    <w:rsid w:val="006D2AE3"/>
    <w:rsid w:val="006D44D8"/>
    <w:rsid w:val="006D7ED0"/>
    <w:rsid w:val="006F206A"/>
    <w:rsid w:val="00702E75"/>
    <w:rsid w:val="007034AF"/>
    <w:rsid w:val="00704F7B"/>
    <w:rsid w:val="00713928"/>
    <w:rsid w:val="007143C2"/>
    <w:rsid w:val="00721F75"/>
    <w:rsid w:val="00723025"/>
    <w:rsid w:val="007235F8"/>
    <w:rsid w:val="0073044B"/>
    <w:rsid w:val="00731ACD"/>
    <w:rsid w:val="00731FEA"/>
    <w:rsid w:val="00734460"/>
    <w:rsid w:val="00742D61"/>
    <w:rsid w:val="00744F5E"/>
    <w:rsid w:val="0075088C"/>
    <w:rsid w:val="007556F7"/>
    <w:rsid w:val="00781E2B"/>
    <w:rsid w:val="00784E58"/>
    <w:rsid w:val="007856A0"/>
    <w:rsid w:val="007876CD"/>
    <w:rsid w:val="00791F01"/>
    <w:rsid w:val="00792B4A"/>
    <w:rsid w:val="00795D09"/>
    <w:rsid w:val="00796AF1"/>
    <w:rsid w:val="007A0809"/>
    <w:rsid w:val="007A2F46"/>
    <w:rsid w:val="007A3BC4"/>
    <w:rsid w:val="007A4575"/>
    <w:rsid w:val="007B0C49"/>
    <w:rsid w:val="007B48DD"/>
    <w:rsid w:val="007B6A35"/>
    <w:rsid w:val="007B6FBA"/>
    <w:rsid w:val="007C1BD2"/>
    <w:rsid w:val="007C26F4"/>
    <w:rsid w:val="007C3683"/>
    <w:rsid w:val="007C5634"/>
    <w:rsid w:val="007D0195"/>
    <w:rsid w:val="007E5570"/>
    <w:rsid w:val="007E6C87"/>
    <w:rsid w:val="007E728E"/>
    <w:rsid w:val="007F4098"/>
    <w:rsid w:val="007F7BA9"/>
    <w:rsid w:val="00800EC8"/>
    <w:rsid w:val="0081161C"/>
    <w:rsid w:val="00814CD2"/>
    <w:rsid w:val="00816470"/>
    <w:rsid w:val="0082002C"/>
    <w:rsid w:val="008228E4"/>
    <w:rsid w:val="00826D2B"/>
    <w:rsid w:val="008431C5"/>
    <w:rsid w:val="008456A2"/>
    <w:rsid w:val="00845BEF"/>
    <w:rsid w:val="0084736D"/>
    <w:rsid w:val="0085295D"/>
    <w:rsid w:val="00855AAA"/>
    <w:rsid w:val="00855C86"/>
    <w:rsid w:val="008638A9"/>
    <w:rsid w:val="00864B57"/>
    <w:rsid w:val="008650CF"/>
    <w:rsid w:val="00866802"/>
    <w:rsid w:val="0086780C"/>
    <w:rsid w:val="008731BB"/>
    <w:rsid w:val="0087619F"/>
    <w:rsid w:val="00880F5C"/>
    <w:rsid w:val="00882213"/>
    <w:rsid w:val="0088283C"/>
    <w:rsid w:val="00885B38"/>
    <w:rsid w:val="00887CF3"/>
    <w:rsid w:val="008901CD"/>
    <w:rsid w:val="008978B1"/>
    <w:rsid w:val="008A18C5"/>
    <w:rsid w:val="008A3340"/>
    <w:rsid w:val="008A57BF"/>
    <w:rsid w:val="008B0348"/>
    <w:rsid w:val="008B1FEB"/>
    <w:rsid w:val="008C59E1"/>
    <w:rsid w:val="008D2E5A"/>
    <w:rsid w:val="008E08F7"/>
    <w:rsid w:val="008E10CF"/>
    <w:rsid w:val="008E5AE3"/>
    <w:rsid w:val="008F3DCE"/>
    <w:rsid w:val="008F5769"/>
    <w:rsid w:val="008F5DFE"/>
    <w:rsid w:val="00900B10"/>
    <w:rsid w:val="00914483"/>
    <w:rsid w:val="00917DE0"/>
    <w:rsid w:val="00920708"/>
    <w:rsid w:val="00924211"/>
    <w:rsid w:val="0093124C"/>
    <w:rsid w:val="0093493F"/>
    <w:rsid w:val="009357B7"/>
    <w:rsid w:val="0093758F"/>
    <w:rsid w:val="00955681"/>
    <w:rsid w:val="00955ED6"/>
    <w:rsid w:val="009570CC"/>
    <w:rsid w:val="00957B39"/>
    <w:rsid w:val="00961137"/>
    <w:rsid w:val="00966DAF"/>
    <w:rsid w:val="00967F47"/>
    <w:rsid w:val="00970CCB"/>
    <w:rsid w:val="00973815"/>
    <w:rsid w:val="00980E9F"/>
    <w:rsid w:val="00981DDD"/>
    <w:rsid w:val="00983885"/>
    <w:rsid w:val="00991EFE"/>
    <w:rsid w:val="00992C98"/>
    <w:rsid w:val="0099350E"/>
    <w:rsid w:val="00993DB4"/>
    <w:rsid w:val="00995E6B"/>
    <w:rsid w:val="00997A6D"/>
    <w:rsid w:val="009A6FA8"/>
    <w:rsid w:val="009A767E"/>
    <w:rsid w:val="009B029B"/>
    <w:rsid w:val="009B537C"/>
    <w:rsid w:val="009B54E1"/>
    <w:rsid w:val="009D14F6"/>
    <w:rsid w:val="009D177F"/>
    <w:rsid w:val="009D28B0"/>
    <w:rsid w:val="009D303C"/>
    <w:rsid w:val="009D6AC6"/>
    <w:rsid w:val="009E1163"/>
    <w:rsid w:val="009E3532"/>
    <w:rsid w:val="009E3FB4"/>
    <w:rsid w:val="009E4C83"/>
    <w:rsid w:val="009F32DE"/>
    <w:rsid w:val="009F5810"/>
    <w:rsid w:val="009F682B"/>
    <w:rsid w:val="00A01069"/>
    <w:rsid w:val="00A10FEE"/>
    <w:rsid w:val="00A123F8"/>
    <w:rsid w:val="00A13906"/>
    <w:rsid w:val="00A31CF4"/>
    <w:rsid w:val="00A36DB3"/>
    <w:rsid w:val="00A37181"/>
    <w:rsid w:val="00A40950"/>
    <w:rsid w:val="00A42FEB"/>
    <w:rsid w:val="00A43573"/>
    <w:rsid w:val="00A466BD"/>
    <w:rsid w:val="00A54A2C"/>
    <w:rsid w:val="00A6432B"/>
    <w:rsid w:val="00A755B5"/>
    <w:rsid w:val="00A813E9"/>
    <w:rsid w:val="00A94289"/>
    <w:rsid w:val="00AA0768"/>
    <w:rsid w:val="00AA3CCA"/>
    <w:rsid w:val="00AA7B13"/>
    <w:rsid w:val="00AB1BD2"/>
    <w:rsid w:val="00AB1EBC"/>
    <w:rsid w:val="00AB328F"/>
    <w:rsid w:val="00AB6AF3"/>
    <w:rsid w:val="00AC0158"/>
    <w:rsid w:val="00AC7274"/>
    <w:rsid w:val="00AD05D8"/>
    <w:rsid w:val="00AD4564"/>
    <w:rsid w:val="00AD725B"/>
    <w:rsid w:val="00AE3D82"/>
    <w:rsid w:val="00AE3E3E"/>
    <w:rsid w:val="00AE5445"/>
    <w:rsid w:val="00AF1506"/>
    <w:rsid w:val="00AF66C0"/>
    <w:rsid w:val="00AF7B18"/>
    <w:rsid w:val="00B01F31"/>
    <w:rsid w:val="00B04A5A"/>
    <w:rsid w:val="00B0538F"/>
    <w:rsid w:val="00B24D8E"/>
    <w:rsid w:val="00B268EA"/>
    <w:rsid w:val="00B307FA"/>
    <w:rsid w:val="00B320A6"/>
    <w:rsid w:val="00B359B0"/>
    <w:rsid w:val="00B35B4E"/>
    <w:rsid w:val="00B41280"/>
    <w:rsid w:val="00B45DDC"/>
    <w:rsid w:val="00B47808"/>
    <w:rsid w:val="00B6151A"/>
    <w:rsid w:val="00B62829"/>
    <w:rsid w:val="00B62FBB"/>
    <w:rsid w:val="00B661C3"/>
    <w:rsid w:val="00B743A9"/>
    <w:rsid w:val="00B81337"/>
    <w:rsid w:val="00B87627"/>
    <w:rsid w:val="00B92F72"/>
    <w:rsid w:val="00B94921"/>
    <w:rsid w:val="00BA7AF0"/>
    <w:rsid w:val="00BB2C5B"/>
    <w:rsid w:val="00BC78EB"/>
    <w:rsid w:val="00BE7003"/>
    <w:rsid w:val="00BE7951"/>
    <w:rsid w:val="00BF6CE2"/>
    <w:rsid w:val="00C1012B"/>
    <w:rsid w:val="00C21C30"/>
    <w:rsid w:val="00C22D07"/>
    <w:rsid w:val="00C252E4"/>
    <w:rsid w:val="00C30E3C"/>
    <w:rsid w:val="00C367A3"/>
    <w:rsid w:val="00C370A9"/>
    <w:rsid w:val="00C37A4F"/>
    <w:rsid w:val="00C51F52"/>
    <w:rsid w:val="00C56148"/>
    <w:rsid w:val="00C62587"/>
    <w:rsid w:val="00C657D0"/>
    <w:rsid w:val="00C712D1"/>
    <w:rsid w:val="00C71401"/>
    <w:rsid w:val="00C762E6"/>
    <w:rsid w:val="00C905A5"/>
    <w:rsid w:val="00C94DD6"/>
    <w:rsid w:val="00CA61B6"/>
    <w:rsid w:val="00CA7868"/>
    <w:rsid w:val="00CA7D96"/>
    <w:rsid w:val="00CB01D9"/>
    <w:rsid w:val="00CC15EC"/>
    <w:rsid w:val="00CC2CC1"/>
    <w:rsid w:val="00CC522E"/>
    <w:rsid w:val="00CC59B3"/>
    <w:rsid w:val="00CC61D1"/>
    <w:rsid w:val="00CC77FC"/>
    <w:rsid w:val="00CD1ADC"/>
    <w:rsid w:val="00CD298F"/>
    <w:rsid w:val="00CE5558"/>
    <w:rsid w:val="00CF0018"/>
    <w:rsid w:val="00CF3FAC"/>
    <w:rsid w:val="00D01B4A"/>
    <w:rsid w:val="00D0269D"/>
    <w:rsid w:val="00D0295B"/>
    <w:rsid w:val="00D02B92"/>
    <w:rsid w:val="00D06BF8"/>
    <w:rsid w:val="00D14904"/>
    <w:rsid w:val="00D14F49"/>
    <w:rsid w:val="00D17545"/>
    <w:rsid w:val="00D26B89"/>
    <w:rsid w:val="00D3011F"/>
    <w:rsid w:val="00D47201"/>
    <w:rsid w:val="00D515F4"/>
    <w:rsid w:val="00D54501"/>
    <w:rsid w:val="00D6772B"/>
    <w:rsid w:val="00D728AC"/>
    <w:rsid w:val="00D7572F"/>
    <w:rsid w:val="00D80525"/>
    <w:rsid w:val="00D86BBA"/>
    <w:rsid w:val="00D87EB0"/>
    <w:rsid w:val="00D94BC2"/>
    <w:rsid w:val="00D95AD4"/>
    <w:rsid w:val="00D95CD2"/>
    <w:rsid w:val="00D95DE1"/>
    <w:rsid w:val="00DA5440"/>
    <w:rsid w:val="00DB2B45"/>
    <w:rsid w:val="00DB3BAA"/>
    <w:rsid w:val="00DB413E"/>
    <w:rsid w:val="00DB4A4E"/>
    <w:rsid w:val="00DB75BA"/>
    <w:rsid w:val="00DB788E"/>
    <w:rsid w:val="00DC127E"/>
    <w:rsid w:val="00DC5E5A"/>
    <w:rsid w:val="00DD37EC"/>
    <w:rsid w:val="00DD4F1C"/>
    <w:rsid w:val="00DD581E"/>
    <w:rsid w:val="00DE5024"/>
    <w:rsid w:val="00DE6FCA"/>
    <w:rsid w:val="00DF0B64"/>
    <w:rsid w:val="00DF1E7B"/>
    <w:rsid w:val="00DF2517"/>
    <w:rsid w:val="00DF2EA9"/>
    <w:rsid w:val="00DF303A"/>
    <w:rsid w:val="00DF6C11"/>
    <w:rsid w:val="00DF7A50"/>
    <w:rsid w:val="00E02F18"/>
    <w:rsid w:val="00E031A3"/>
    <w:rsid w:val="00E04959"/>
    <w:rsid w:val="00E056D2"/>
    <w:rsid w:val="00E14EDF"/>
    <w:rsid w:val="00E220C7"/>
    <w:rsid w:val="00E242FC"/>
    <w:rsid w:val="00E273E4"/>
    <w:rsid w:val="00E31EBD"/>
    <w:rsid w:val="00E36BF4"/>
    <w:rsid w:val="00E401FC"/>
    <w:rsid w:val="00E47FF9"/>
    <w:rsid w:val="00E523A1"/>
    <w:rsid w:val="00E53F79"/>
    <w:rsid w:val="00E55B54"/>
    <w:rsid w:val="00E61133"/>
    <w:rsid w:val="00E655A4"/>
    <w:rsid w:val="00E704B0"/>
    <w:rsid w:val="00E72CFF"/>
    <w:rsid w:val="00E7368C"/>
    <w:rsid w:val="00E76B64"/>
    <w:rsid w:val="00E82479"/>
    <w:rsid w:val="00E84E0A"/>
    <w:rsid w:val="00E86F34"/>
    <w:rsid w:val="00E92F0C"/>
    <w:rsid w:val="00E95DA2"/>
    <w:rsid w:val="00EA0154"/>
    <w:rsid w:val="00EA1132"/>
    <w:rsid w:val="00EA3F30"/>
    <w:rsid w:val="00EB1036"/>
    <w:rsid w:val="00EB11C3"/>
    <w:rsid w:val="00EC09FD"/>
    <w:rsid w:val="00EC3C66"/>
    <w:rsid w:val="00ED23C3"/>
    <w:rsid w:val="00EE587A"/>
    <w:rsid w:val="00EE724B"/>
    <w:rsid w:val="00EF64D2"/>
    <w:rsid w:val="00EF6907"/>
    <w:rsid w:val="00EF75A9"/>
    <w:rsid w:val="00EF7B71"/>
    <w:rsid w:val="00F05902"/>
    <w:rsid w:val="00F12318"/>
    <w:rsid w:val="00F20183"/>
    <w:rsid w:val="00F23574"/>
    <w:rsid w:val="00F244F4"/>
    <w:rsid w:val="00F42765"/>
    <w:rsid w:val="00F47472"/>
    <w:rsid w:val="00F52706"/>
    <w:rsid w:val="00F5449B"/>
    <w:rsid w:val="00F55A4F"/>
    <w:rsid w:val="00F55BE0"/>
    <w:rsid w:val="00F56A75"/>
    <w:rsid w:val="00F672D8"/>
    <w:rsid w:val="00F67B08"/>
    <w:rsid w:val="00F72599"/>
    <w:rsid w:val="00F87C9F"/>
    <w:rsid w:val="00F95A2E"/>
    <w:rsid w:val="00F9669F"/>
    <w:rsid w:val="00FA6542"/>
    <w:rsid w:val="00FA758A"/>
    <w:rsid w:val="00FB0F94"/>
    <w:rsid w:val="00FB3464"/>
    <w:rsid w:val="00FB4828"/>
    <w:rsid w:val="00FB54CB"/>
    <w:rsid w:val="00FB7530"/>
    <w:rsid w:val="00FC2A69"/>
    <w:rsid w:val="00FC3E82"/>
    <w:rsid w:val="00FD3616"/>
    <w:rsid w:val="00FD382A"/>
    <w:rsid w:val="00FD411A"/>
    <w:rsid w:val="00FD6D71"/>
    <w:rsid w:val="00FD747F"/>
    <w:rsid w:val="00FE6676"/>
    <w:rsid w:val="00FF0B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C7AFA1"/>
  <w14:defaultImageDpi w14:val="300"/>
  <w15:docId w15:val="{8469B499-3BBC-B443-93C5-76E42E8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4D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D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D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D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D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D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4D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5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5A3"/>
    <w:rPr>
      <w:rFonts w:ascii="Lucida Grande" w:hAnsi="Lucida Grande" w:cs="Lucida Grande"/>
      <w:sz w:val="18"/>
      <w:szCs w:val="18"/>
    </w:rPr>
  </w:style>
  <w:style w:type="paragraph" w:styleId="ListParagraph">
    <w:name w:val="List Paragraph"/>
    <w:aliases w:val="Normal bullet 2,Bullet list,Heading 2_sj,List Paragraph1,Dot pt"/>
    <w:basedOn w:val="Normal"/>
    <w:link w:val="ListParagraphChar"/>
    <w:uiPriority w:val="34"/>
    <w:qFormat/>
    <w:rsid w:val="002473A8"/>
    <w:pPr>
      <w:ind w:left="720"/>
      <w:contextualSpacing/>
    </w:pPr>
  </w:style>
  <w:style w:type="character" w:styleId="CommentReference">
    <w:name w:val="annotation reference"/>
    <w:basedOn w:val="DefaultParagraphFont"/>
    <w:uiPriority w:val="99"/>
    <w:semiHidden/>
    <w:unhideWhenUsed/>
    <w:rsid w:val="00FA6542"/>
    <w:rPr>
      <w:sz w:val="18"/>
      <w:szCs w:val="18"/>
    </w:rPr>
  </w:style>
  <w:style w:type="paragraph" w:styleId="CommentText">
    <w:name w:val="annotation text"/>
    <w:basedOn w:val="Normal"/>
    <w:link w:val="CommentTextChar"/>
    <w:uiPriority w:val="99"/>
    <w:semiHidden/>
    <w:unhideWhenUsed/>
    <w:rsid w:val="00FA6542"/>
  </w:style>
  <w:style w:type="character" w:customStyle="1" w:styleId="CommentTextChar">
    <w:name w:val="Comment Text Char"/>
    <w:basedOn w:val="DefaultParagraphFont"/>
    <w:link w:val="CommentText"/>
    <w:uiPriority w:val="99"/>
    <w:semiHidden/>
    <w:rsid w:val="00FA6542"/>
  </w:style>
  <w:style w:type="paragraph" w:styleId="CommentSubject">
    <w:name w:val="annotation subject"/>
    <w:basedOn w:val="CommentText"/>
    <w:next w:val="CommentText"/>
    <w:link w:val="CommentSubjectChar"/>
    <w:uiPriority w:val="99"/>
    <w:semiHidden/>
    <w:unhideWhenUsed/>
    <w:rsid w:val="00FA6542"/>
    <w:rPr>
      <w:b/>
      <w:bCs/>
      <w:sz w:val="20"/>
      <w:szCs w:val="20"/>
    </w:rPr>
  </w:style>
  <w:style w:type="character" w:customStyle="1" w:styleId="CommentSubjectChar">
    <w:name w:val="Comment Subject Char"/>
    <w:basedOn w:val="CommentTextChar"/>
    <w:link w:val="CommentSubject"/>
    <w:uiPriority w:val="99"/>
    <w:semiHidden/>
    <w:rsid w:val="00FA6542"/>
    <w:rPr>
      <w:b/>
      <w:bCs/>
      <w:sz w:val="20"/>
      <w:szCs w:val="20"/>
    </w:rPr>
  </w:style>
  <w:style w:type="paragraph" w:styleId="Header">
    <w:name w:val="header"/>
    <w:basedOn w:val="Normal"/>
    <w:link w:val="HeaderChar"/>
    <w:unhideWhenUsed/>
    <w:rsid w:val="0029727B"/>
    <w:pPr>
      <w:tabs>
        <w:tab w:val="center" w:pos="4536"/>
        <w:tab w:val="right" w:pos="9072"/>
      </w:tabs>
    </w:pPr>
  </w:style>
  <w:style w:type="character" w:customStyle="1" w:styleId="HeaderChar">
    <w:name w:val="Header Char"/>
    <w:basedOn w:val="DefaultParagraphFont"/>
    <w:link w:val="Header"/>
    <w:rsid w:val="0029727B"/>
  </w:style>
  <w:style w:type="paragraph" w:styleId="Footer">
    <w:name w:val="footer"/>
    <w:basedOn w:val="Normal"/>
    <w:link w:val="FooterChar"/>
    <w:uiPriority w:val="99"/>
    <w:unhideWhenUsed/>
    <w:rsid w:val="0029727B"/>
    <w:pPr>
      <w:tabs>
        <w:tab w:val="center" w:pos="4536"/>
        <w:tab w:val="right" w:pos="9072"/>
      </w:tabs>
    </w:pPr>
  </w:style>
  <w:style w:type="character" w:customStyle="1" w:styleId="FooterChar">
    <w:name w:val="Footer Char"/>
    <w:basedOn w:val="DefaultParagraphFont"/>
    <w:link w:val="Footer"/>
    <w:uiPriority w:val="99"/>
    <w:rsid w:val="0029727B"/>
  </w:style>
  <w:style w:type="character" w:styleId="Hyperlink">
    <w:name w:val="Hyperlink"/>
    <w:semiHidden/>
    <w:rsid w:val="007C26F4"/>
    <w:rPr>
      <w:color w:val="0000FF"/>
      <w:u w:val="single"/>
    </w:rPr>
  </w:style>
  <w:style w:type="table" w:styleId="TableGrid">
    <w:name w:val="Table Grid"/>
    <w:basedOn w:val="TableNormal"/>
    <w:uiPriority w:val="59"/>
    <w:rsid w:val="00D0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4D8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24D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D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4D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4D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4D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4D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4D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4D8E"/>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F47472"/>
    <w:rPr>
      <w:color w:val="605E5C"/>
      <w:shd w:val="clear" w:color="auto" w:fill="E1DFDD"/>
    </w:rPr>
  </w:style>
  <w:style w:type="character" w:customStyle="1" w:styleId="ListParagraphChar">
    <w:name w:val="List Paragraph Char"/>
    <w:aliases w:val="Normal bullet 2 Char,Bullet list Char,Heading 2_sj Char,List Paragraph1 Char,Dot pt Char"/>
    <w:link w:val="ListParagraph"/>
    <w:uiPriority w:val="34"/>
    <w:qFormat/>
    <w:locked/>
    <w:rsid w:val="00FC2A69"/>
  </w:style>
  <w:style w:type="paragraph" w:styleId="Revision">
    <w:name w:val="Revision"/>
    <w:hidden/>
    <w:uiPriority w:val="99"/>
    <w:semiHidden/>
    <w:rsid w:val="00713928"/>
  </w:style>
  <w:style w:type="paragraph" w:styleId="Title">
    <w:name w:val="Title"/>
    <w:aliases w:val="Titre annexes"/>
    <w:basedOn w:val="Normal"/>
    <w:next w:val="Normal"/>
    <w:link w:val="TitleChar"/>
    <w:uiPriority w:val="10"/>
    <w:qFormat/>
    <w:rsid w:val="0019190B"/>
    <w:pPr>
      <w:widowControl w:val="0"/>
      <w:suppressAutoHyphens/>
      <w:spacing w:after="300"/>
      <w:contextualSpacing/>
      <w:jc w:val="both"/>
    </w:pPr>
    <w:rPr>
      <w:rFonts w:ascii="Arial" w:eastAsiaTheme="majorEastAsia" w:hAnsi="Arial" w:cs="Mangal"/>
      <w:b/>
      <w:color w:val="17365D" w:themeColor="text2" w:themeShade="BF"/>
      <w:spacing w:val="5"/>
      <w:kern w:val="28"/>
      <w:szCs w:val="47"/>
      <w:lang w:eastAsia="hi-IN" w:bidi="hi-IN"/>
    </w:rPr>
  </w:style>
  <w:style w:type="character" w:customStyle="1" w:styleId="TitleChar">
    <w:name w:val="Title Char"/>
    <w:aliases w:val="Titre annexes Char"/>
    <w:basedOn w:val="DefaultParagraphFont"/>
    <w:link w:val="Title"/>
    <w:uiPriority w:val="10"/>
    <w:rsid w:val="0019190B"/>
    <w:rPr>
      <w:rFonts w:ascii="Arial" w:eastAsiaTheme="majorEastAsia" w:hAnsi="Arial" w:cs="Mangal"/>
      <w:b/>
      <w:color w:val="17365D" w:themeColor="text2" w:themeShade="BF"/>
      <w:spacing w:val="5"/>
      <w:kern w:val="28"/>
      <w:szCs w:val="47"/>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75226">
      <w:bodyDiv w:val="1"/>
      <w:marLeft w:val="0"/>
      <w:marRight w:val="0"/>
      <w:marTop w:val="0"/>
      <w:marBottom w:val="0"/>
      <w:divBdr>
        <w:top w:val="none" w:sz="0" w:space="0" w:color="auto"/>
        <w:left w:val="none" w:sz="0" w:space="0" w:color="auto"/>
        <w:bottom w:val="none" w:sz="0" w:space="0" w:color="auto"/>
        <w:right w:val="none" w:sz="0" w:space="0" w:color="auto"/>
      </w:divBdr>
      <w:divsChild>
        <w:div w:id="1781684161">
          <w:marLeft w:val="0"/>
          <w:marRight w:val="0"/>
          <w:marTop w:val="0"/>
          <w:marBottom w:val="0"/>
          <w:divBdr>
            <w:top w:val="none" w:sz="0" w:space="0" w:color="auto"/>
            <w:left w:val="none" w:sz="0" w:space="0" w:color="auto"/>
            <w:bottom w:val="none" w:sz="0" w:space="0" w:color="auto"/>
            <w:right w:val="none" w:sz="0" w:space="0" w:color="auto"/>
          </w:divBdr>
          <w:divsChild>
            <w:div w:id="690840556">
              <w:marLeft w:val="0"/>
              <w:marRight w:val="0"/>
              <w:marTop w:val="0"/>
              <w:marBottom w:val="0"/>
              <w:divBdr>
                <w:top w:val="none" w:sz="0" w:space="0" w:color="auto"/>
                <w:left w:val="none" w:sz="0" w:space="0" w:color="auto"/>
                <w:bottom w:val="none" w:sz="0" w:space="0" w:color="auto"/>
                <w:right w:val="none" w:sz="0" w:space="0" w:color="auto"/>
              </w:divBdr>
              <w:divsChild>
                <w:div w:id="610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pelagos-sanctuary.org" TargetMode="External"/><Relationship Id="rId1" Type="http://schemas.openxmlformats.org/officeDocument/2006/relationships/hyperlink" Target="mailto:secretariat@pelagossanctuar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6E7E41A42834CAB11AE4602BAA273" ma:contentTypeVersion="11" ma:contentTypeDescription="Crée un document." ma:contentTypeScope="" ma:versionID="ca4fc6d89f1eca317be9da4c782e8b17">
  <xsd:schema xmlns:xsd="http://www.w3.org/2001/XMLSchema" xmlns:xs="http://www.w3.org/2001/XMLSchema" xmlns:p="http://schemas.microsoft.com/office/2006/metadata/properties" xmlns:ns2="24322c8b-e017-4fd7-84d2-0d3388e4e19d" xmlns:ns3="a152d4e5-6676-441a-9fa6-55d85eff8287" targetNamespace="http://schemas.microsoft.com/office/2006/metadata/properties" ma:root="true" ma:fieldsID="e1c33fe8a891c1843798baa6417b8a75" ns2:_="" ns3:_="">
    <xsd:import namespace="24322c8b-e017-4fd7-84d2-0d3388e4e19d"/>
    <xsd:import namespace="a152d4e5-6676-441a-9fa6-55d85eff8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2c8b-e017-4fd7-84d2-0d3388e4e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7d7d037-dc18-4ba0-a6a4-5b0be8b1da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2d4e5-6676-441a-9fa6-55d85eff8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c93c3-4cbe-4d2f-8f0d-cc0230b5cde7}" ma:internalName="TaxCatchAll" ma:showField="CatchAllData" ma:web="a152d4e5-6676-441a-9fa6-55d85eff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52d4e5-6676-441a-9fa6-55d85eff8287" xsi:nil="true"/>
    <lcf76f155ced4ddcb4097134ff3c332f xmlns="24322c8b-e017-4fd7-84d2-0d3388e4e1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1DBAD-AFF4-40DE-BA7E-93C27143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2c8b-e017-4fd7-84d2-0d3388e4e19d"/>
    <ds:schemaRef ds:uri="a152d4e5-6676-441a-9fa6-55d85eff8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9C156-1497-4440-A85E-8B7D14653B7A}">
  <ds:schemaRefs>
    <ds:schemaRef ds:uri="http://schemas.microsoft.com/sharepoint/v3/contenttype/forms"/>
  </ds:schemaRefs>
</ds:datastoreItem>
</file>

<file path=customXml/itemProps3.xml><?xml version="1.0" encoding="utf-8"?>
<ds:datastoreItem xmlns:ds="http://schemas.openxmlformats.org/officeDocument/2006/customXml" ds:itemID="{7BE34718-9DF5-CD4E-BD5C-F1A287CFFA1D}">
  <ds:schemaRefs>
    <ds:schemaRef ds:uri="http://schemas.openxmlformats.org/officeDocument/2006/bibliography"/>
  </ds:schemaRefs>
</ds:datastoreItem>
</file>

<file path=customXml/itemProps4.xml><?xml version="1.0" encoding="utf-8"?>
<ds:datastoreItem xmlns:ds="http://schemas.openxmlformats.org/officeDocument/2006/customXml" ds:itemID="{296B211E-4431-4004-9FFB-6EE3FF8D917D}">
  <ds:schemaRefs>
    <ds:schemaRef ds:uri="http://schemas.microsoft.com/office/2006/metadata/properties"/>
    <ds:schemaRef ds:uri="http://schemas.microsoft.com/office/infopath/2007/PartnerControls"/>
    <ds:schemaRef ds:uri="a152d4e5-6676-441a-9fa6-55d85eff8287"/>
    <ds:schemaRef ds:uri="24322c8b-e017-4fd7-84d2-0d3388e4e19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1101</Words>
  <Characters>7028</Characters>
  <Application>Microsoft Office Word</Application>
  <DocSecurity>0</DocSecurity>
  <Lines>319</Lines>
  <Paragraphs>111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Sanctuaire Pelagos</dc:creator>
  <cp:keywords/>
  <dc:description/>
  <cp:lastModifiedBy>Maria BETTI</cp:lastModifiedBy>
  <cp:revision>2</cp:revision>
  <cp:lastPrinted>2026-01-08T08:00:00Z</cp:lastPrinted>
  <dcterms:created xsi:type="dcterms:W3CDTF">2026-05-03T19:51:00Z</dcterms:created>
  <dcterms:modified xsi:type="dcterms:W3CDTF">2026-05-03T19:51:00Z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0x010100ED76E7E41A42834CAB11AE4602BAA273</vt:lpwstr>
  </property>
</Properties>
</file>